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w:t>
      </w:r>
      <w:r>
        <w:rPr>
          <w:rFonts w:ascii="Calibri" w:hAnsi="Calibri"/>
          <w:b/>
          <w:color w:val="1A2010"/>
          <w:sz w:val="40"/>
        </w:rPr>
        <w:t xml:space="preserve">  Bloom Energy Corporation</w:t>
      </w:r>
    </w:p>
    <w:p>
      <w:pPr>
        <w:spacing w:after="120"/>
      </w:pPr>
      <w:r>
        <w:rPr>
          <w:rFonts w:ascii="Calibri" w:hAnsi="Calibri"/>
          <w:b/>
          <w:color w:val="6E8450"/>
          <w:sz w:val="18"/>
        </w:rPr>
        <w:t>GROWTH SLEEVE · 2026-08-16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Capital Goods / On-Site Power Generation · NYSE · United States</w:t>
      </w:r>
    </w:p>
    <w:p>
      <w:pPr>
        <w:spacing w:after="80"/>
      </w:pPr>
      <w:r>
        <w:rPr>
          <w:rFonts w:ascii="Calibri" w:hAnsi="Calibri"/>
          <w:b w:val="0"/>
          <w:color w:val="3A4A28"/>
          <w:sz w:val="20"/>
        </w:rPr>
        <w:t>Bloom Energy is a San Jose, California-based manufacturer of solid oxide fuel cell systems ('Bloom Energy Servers') providing modular, on-site power generation, founded in 2001 by CEO KR Sridhar, a former NASA aerospace researcher. The company has become a leading power solution for AI data centers, with landmark deployments including 50MW delivered to Oracle in 55 days, a master agreement for up to 2.8GW with Oracle's Project Jupiter AI campus, a $5B partnership with Brookfield Asset Management, and a $2.65B deal with American Electric Power. Q2 2026 revenue reached a record $1.07B (+166% YoY), and management raised full-year 2026 revenue guidance to $3.9-4.2B, roughly double 2025's $2.02B, with product backlog up 140% YoY to $6B and service backlog reaching $14B.</w:t>
      </w:r>
    </w:p>
    <w:p>
      <w:r>
        <w:rPr>
          <w:rFonts w:ascii="Calibri" w:hAnsi="Calibri"/>
          <w:b/>
          <w:color w:val="6E8450"/>
          <w:sz w:val="18"/>
        </w:rPr>
        <w:t>2,272 Employees · https://www.bloomenergy.com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Bloom Energy has executed a transformative pivot from general commercial &amp; industrial fuel cell power toward becoming a primary modular power solution for AI data centers, evidenced by landmark deployments (50MW to Oracle in 55 days) and major new partnerships (Brookfield $5B, AEP $2.65B, Oracle Project Jupiter up to 2.8GW) that have redefined the company's growth trajectory [1]. AI Deployment (2/2): Revenue directly attributable to AI data center demand is explicitly quantified — 2026 revenue guidance was raised to $3.9-4.2B (roughly double 2025's $2.02B) specifically citing AI-driven growth, with product backlog up 140% YoY to $6B [1]. Market Share (2/2): Bloom has become a category leader in modular fuel cell power for AI data centers specifically, evidenced by its selection for Oracle's flagship Project Jupiter campus and the scale of the AEP and Brookfield partnerships [1]. Product Pipeline (2/2): Specific named projects with quantified capacity are on record — the 2.8GW Oracle master agreement, $2.65B AEP deal, and $5B Brookfield partnership collectively support an estimated $20B backlog [1]. R&amp;D Intensity (0/1): No specific R&amp;D-to-revenue figure relative to industrial or power-equipment peers was identified in research, despite the company's 20+ year history of solid oxide fuel cell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Bloom's mission — 'to make clean, reliable energy affordable for all' — is specific and thoughtful, and founder-CEO KR Sridhar has held this cause for 25 years since founding the company from his NASA fuel cell research, sustaining the technology through years of skepticism and losses before the AI power boom validated the long-term bet [1][2]. Community Impact (0/2): No dollar-quantified charitable or community investment program was identified in research. Employee Retention (0/2): No Glassdoor rating or turnover/tenure data was found for Bloom Energy in research. Insider Buying (0/2): No specific evidence of net insider buying in the past 12 months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growth-stock weighting given Bloom Energy pays no meaningful dividend. ROE of 22.21%, revenue growth (~100%+ YoY on raised guidance), and 5-year revenue CAGR (approximately 36%, based on 2020-2025 revenue growth) all clear their targets by wide margins, and a Forward PEG of 0.96 is favorable relative to the 3.0 floor. Profit margin of 7.87% trails the 20% target, reflecting the company's still-maturing profitability as it scales AI-driven manufacturing. The two largest drags are D/E of approximately 256% (calculated from $2.82B debt against an estimated ~$1.1B equity base implied by ROE and trailing profit), close to the 300% floor, and a Forward P/E of 81.01x, which exceeds the 60x floor and scores zero, reflecting a valuation that prices in years of continued hypergrowth. The stock clears the liquidity floor comfortably with ~$1.9B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Bloom Energy is a strong example of existential flexibility rewarded: founder-CEO KR Sridhar sustained a 25-year, capital-intensive bet on solid oxide fuel cell technology through years of financial losses and market skepticism, and the company's pivot toward AI data center power has now validated that patience with landmark deals (Oracle, AEP, Brookfield). The main gaps for a higher Infinite Game score are a lack of evidence on internal trust/psychological-safety culture and limited public data on how the company frames rivalry with competitors, both data gaps rather than negative findings.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Bloom's mission to 'make clean, reliable energy affordable for all' is idealistic and service-oriented, and Sridhar's 25-year tenure pursuing solid oxide fuel cell commercialization — through years when the technology was unprofitable and unproven at scale — demonstrates the cause has genuinely shaped strategy, though it has only recently been validated by the AI power boom rather than proven across multiple full market cycles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Sridhar's comment that companies need 'the DNA of a rabbit' to move at AI speed suggests an organizational emphasis on agility, but no specific evidence of psychological safety, employee empowerment, or retention data was identified in research to support a higher score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Sridhar's public commentary frames the competitive challenge as centralized grid infrastructure being structurally inadequate for AI power demand, rather than framing rivalry with specific fuel-cell or power-generation competitors as a source of self-improvement, so no clear evidence supports a positive score on this narrow criterion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Bloom fundamentally reoriented its go-to-market from general commercial &amp; industrial customers toward AI data center power as the primary growth engine, a pivot that has redefined the company's entire investment narrative and financial trajectory, evidenced by product backlog up 140% YoY and revenue guidance roughly doubling for 2026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Sridhar sustained over two decades of R&amp;D investment in solid oxide fuel cell technology through periods of significant financial losses and persistent market skepticism about fuel cell economics, a clear example of prioritizing long-term technological conviction over short-term earnings — a bet that has only recently been fully validated by AI-driven demand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Bloom Energy has emerged as one of the purest plays on distributed AI data center power, with Q2 2026 revenue reaching a record $1.07B (+166% YoY) and management raising full-year 2026 revenue guidance to $3.9-4.2B — roughly double 2025's $2.02B — on the strength of landmark deals including a 2.8GW master agreement with Oracle's Project Jupiter, a $5B partnership with Brookfield, and a $2.65B agreement with American Electric Power [1]. CEO KR Sridhar's central thesis — that centralized grid electricity is structurally too slow to serve AI data center power needs, while Bloom's modular fuel cells can be deployed in weeks — has been validated by execution, including a 50MW deployment to Oracle in just 55 days. Product backlog is up 140% YoY to $6B and service backlog has reached $14B, with the CEO noting bookings are outpacing revenue, a favorable leading indicator; a Forward PEG of 0.96 suggests the market has not fully priced in the growth trajectory implied by current guidance.</w:t>
      </w:r>
    </w:p>
    <w:p>
      <w:pPr>
        <w:spacing w:after="120"/>
      </w:pPr>
      <w:r>
        <w:rPr>
          <w:rFonts w:ascii="Calibri" w:hAnsi="Calibri"/>
          <w:b w:val="0"/>
          <w:color w:val="3A4A28"/>
          <w:sz w:val="20"/>
        </w:rPr>
        <w:t>The bear case centers on valuation and execution risk. A Forward P/E of 81.01x prices in years of sustained hypergrowth, and any disappointment in AI data center capex or a slowdown in Bloom's ability to convert its ~$20B combined backlog into recognized revenue would pressure the stock significantly given the premium multiple. D/E is elevated at an estimated 256%, reflecting the capital intensity of scaling fuel cell manufacturing capacity, and the company must roughly double its manufacturing footprint to deliver on current commitments — a substantial execution risk given historical variability in fuel cell degradation and long-term reliability versus traditional gas turbines. Profit margin of 7.87%, while positive, remains well below mature industrial peers, and governance/data-security scrutiny is elevated given AI-focused hyperscaler customers' strict compliance expectations around the data and access-control practices embedded in Bloom's server monitoring systems.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on the 2.8GW Oracle Project Jupiter master agreement and continued ramp of the $5B Brookfield and $2.65B AEP partnerships, converting the ~$20B combined product and service backlog into recognized revenue [1]</w:t>
      </w:r>
    </w:p>
    <w:p>
      <w:pPr>
        <w:spacing w:before="40" w:after="40"/>
        <w:ind w:left="283"/>
      </w:pPr>
      <w:r>
        <w:rPr>
          <w:rFonts w:ascii="Calibri" w:hAnsi="Calibri"/>
          <w:b/>
          <w:color w:val="4A6B25"/>
          <w:sz w:val="20"/>
        </w:rPr>
        <w:t xml:space="preserve">2. </w:t>
      </w:r>
      <w:r>
        <w:rPr>
          <w:rFonts w:ascii="Calibri" w:hAnsi="Calibri"/>
          <w:b w:val="0"/>
          <w:color w:val="3A4A28"/>
          <w:sz w:val="20"/>
        </w:rPr>
        <w:t>Successful doubling of manufacturing capacity to keep pace with bookings that are currently outpacing revenue growth, which would validate the current premium valuation and support further guidance raises [1]</w:t>
      </w:r>
    </w:p>
    <w:p>
      <w:pPr>
        <w:spacing w:before="40" w:after="40"/>
        <w:ind w:left="283"/>
      </w:pPr>
      <w:r>
        <w:rPr>
          <w:rFonts w:ascii="Calibri" w:hAnsi="Calibri"/>
          <w:b/>
          <w:color w:val="4A6B25"/>
          <w:sz w:val="20"/>
        </w:rPr>
        <w:t xml:space="preserve">3. </w:t>
      </w:r>
      <w:r>
        <w:rPr>
          <w:rFonts w:ascii="Calibri" w:hAnsi="Calibri"/>
          <w:b w:val="0"/>
          <w:color w:val="3A4A28"/>
          <w:sz w:val="20"/>
        </w:rPr>
        <w:t>Additional hyperscaler or utility partnerships beyond Oracle, Brookfield, and AEP, expanding Bloom's addressable AI power market beyond its current landmark deals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risk from a Forward P/E of 81.01x that prices in sustained multi-year hypergrowth; any deceleration in AI data center capital spending or delayed hyperscaler deployments would trigger significant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Execution risk from the need to roughly double manufacturing capacity to fulfill the $20B combined backlog, alongside historical questions about solid oxide fuel cell degradation rates and long-term reliability versus incumbent gas turbine and grid-tied alternatives</w:t>
      </w:r>
    </w:p>
    <w:p>
      <w:pPr>
        <w:spacing w:before="40" w:after="40"/>
        <w:ind w:left="283"/>
      </w:pPr>
      <w:r>
        <w:rPr>
          <w:rFonts w:ascii="Calibri" w:hAnsi="Calibri"/>
          <w:b/>
          <w:color w:val="4A6B25"/>
          <w:sz w:val="20"/>
        </w:rPr>
        <w:t xml:space="preserve">3. </w:t>
      </w:r>
      <w:r>
        <w:rPr>
          <w:rFonts w:ascii="Calibri" w:hAnsi="Calibri"/>
          <w:b w:val="0"/>
          <w:color w:val="3A4A28"/>
          <w:sz w:val="20"/>
        </w:rPr>
        <w:t>Elevated leverage (estimated 256% D/E) combined with a still-developing 7.87% profit margin leaves limited room for error if AI infrastructure capex growth slows or financing conditions tighten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Bloom Energy manufactures on-site power generation infrastructure specifically for AI data centers, meaning the company is itself part of the AI buildout and cannot be disrupted by the technology it powers — CEO KR Sridhar's thesis that 'centralized electricity is structurally incapable of serving AI data centers' has been validated by the Oracle, AEP, and Brookfield deals [1][2]. AI Opportunity (1/1): AI data center revenue is explicitly and heavily quantified — the 2026 revenue guidance raise to $3.9-4.2B, the 2.8GW Oracle Project Jupiter agreement, the $2.65B AEP deal, and the $5B Brookfield partnership are all directly tied to AI power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Bloom Energy Q2 2026 Earnings and 8-K Filings — record revenue $1.07B (+166% YoY), raised 2026 guidance to $3.9-4.2B, product backlog $6B (+140% YoY), service backlog $14B, SEC, Stocktwits, Motley Fool, August 2026</w:t>
      </w:r>
    </w:p>
    <w:p>
      <w:pPr>
        <w:spacing w:before="20" w:after="20"/>
        <w:ind w:left="170"/>
      </w:pPr>
      <w:r>
        <w:rPr>
          <w:rFonts w:ascii="Calibri" w:hAnsi="Calibri"/>
          <w:b/>
          <w:color w:val="4A6B25"/>
          <w:sz w:val="15"/>
        </w:rPr>
        <w:t xml:space="preserve">2. </w:t>
      </w:r>
      <w:r>
        <w:rPr>
          <w:rFonts w:ascii="Calibri" w:hAnsi="Calibri"/>
          <w:b w:val="0"/>
          <w:color w:val="3A4A28"/>
          <w:sz w:val="17"/>
        </w:rPr>
        <w:t>Bloom Energy AI Data Center Partnerships — Oracle Project Jupiter (2.8GW), Brookfield ($5B), American Electric Power ($2.65B), 50MW Oracle deployment in 55 days, Fool.com, NAI 500, TheStreet, 2026</w:t>
      </w:r>
    </w:p>
    <w:p>
      <w:pPr>
        <w:spacing w:before="20" w:after="20"/>
        <w:ind w:left="170"/>
      </w:pPr>
      <w:r>
        <w:rPr>
          <w:rFonts w:ascii="Calibri" w:hAnsi="Calibri"/>
          <w:b/>
          <w:color w:val="4A6B25"/>
          <w:sz w:val="15"/>
        </w:rPr>
        <w:t xml:space="preserve">3. </w:t>
      </w:r>
      <w:r>
        <w:rPr>
          <w:rFonts w:ascii="Calibri" w:hAnsi="Calibri"/>
          <w:b w:val="0"/>
          <w:color w:val="3A4A28"/>
          <w:sz w:val="17"/>
        </w:rPr>
        <w:t>KR Sridhar Leadership and Company Mission — Semafor, Veriten, Bloom Energy corporate site,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Bloom Energy ESG and Governance Risk Commentary — Yahoo Finance, ESG data governance risk for AI hyperscaler customers,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GuruFocus, YCharts — BE Key Statistics: Forward P/E 81.01x, PEG 0.96, ROE 22.21%, Revenue 2021-2025, D/E,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