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BMY</w:t>
      </w:r>
      <w:r>
        <w:rPr>
          <w:rFonts w:ascii="Calibri" w:hAnsi="Calibri"/>
          <w:b/>
          <w:color w:val="1A2010"/>
          <w:sz w:val="40"/>
        </w:rPr>
        <w:t xml:space="preserve">  Bristol-Myers Squibb Company</w:t>
      </w:r>
    </w:p>
    <w:p>
      <w:pPr>
        <w:spacing w:after="120"/>
      </w:pPr>
      <w:r>
        <w:rPr>
          <w:rFonts w:ascii="Calibri" w:hAnsi="Calibri"/>
          <w:b/>
          <w:color w:val="6E8450"/>
          <w:sz w:val="18"/>
        </w:rPr>
        <w:t>DIVIDEND SLEEVE · 2026-08-16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Bristol-Myers Squibb is a global biopharmaceutical company focused on discovering, developing, and delivering innovative medicines across oncology, hematology, immunology, cardiovascular, and neuroscience. Q2 2026 revenue reached $13.0 billion (+6% YoY), with the Growth Portfolio (Camzyos, Breyanzi, Reblozyl, Opdualag, Cobenfy, and others) up 15% to $7.6 billion and now nearly 60% of total revenue, offsetting loss-of-exclusivity pressure on legacy products. The company raised full-year 2026 revenue guidance to $49.0-$50.0 billion and non-GAAP EPS guidance to $6.75-$7.00. Chris Boerner is CEO, having passed his one-year anniversary in November 2025.</w:t>
      </w:r>
    </w:p>
    <w:p>
      <w:r>
        <w:rPr>
          <w:rFonts w:ascii="Calibri" w:hAnsi="Calibri"/>
          <w:b/>
          <w:color w:val="6E8450"/>
          <w:sz w:val="18"/>
        </w:rPr>
        <w:t>32,654 Employees · https://www.bms.com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BMS has executed a significant portfolio transformation, growing its newer Growth Portfolio to nearly 60% of total revenue (up 15% YoY to $7.6B in Q2 2026) to offset loss-of-exclusivity pressure on legacy blockbusters like Revlimid — a genuine multi-year business model transition rather than an incremental refresh [1]. AI Deployment (2/2): BMS describes itself as an 'AI-powered biopharma company' with a custom in-house ChatGPT deployment and the MyGrowth HR platform, integrating AI across R&amp;D, HR, finance, and speed-to-market functions with named, shipping internal tools [2]. Market Share (2/2): Eliquis holds a leading position in its category with 20-25% expected global revenue growth guided for 2026, and the oncology and immunology franchises (Opdivo, Breyanzi, Opdualag) hold strong category positions [1]. Product Pipeline (2/2): The company has named, dated pipeline catalysts with multibillion-dollar peak sales potential — Admilparant, Arlo-cel, Iberdomide, Milvexian, and Sotyktu readouts expected by year-end 2026, with Milvexian's AFib study and Cobenfy's ADEPT program specifically pushed to Q1 2027 and early 2027 respectively [1]. R&amp;D Intensity (0/1): No specific R&amp;D-as-percent-of-revenue figure relative to large-pharma peers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BMS's mission — to 'discover, develop and deliver innovative medicines that help patients prevail over serious diseases' — with a vision to be 'the world's leading biopharma company that transforms patients' lives through science,' is specific and patient-centered, reinforced by consistent public messaging [2]. Community Impact (2/2): The ASPIRE 10-year strategy commits to reaching more than 200,000 patients in low- and middle-income countries by 2033, and the Bristol Myers Squibb Foundation funds community-based cancer awareness, screening, and support programs for high-risk populations — specific, quantified, distinctive commitments [2][3]. Employee Retention (0/2): Glassdoor reviews describe 'a bad culture of the US leadership' and cite 'constant layoffs, instability, and concerns about mental health,' which is inconsistent with strong retention evidence despite some employees praising the patient-focused mission [2]. Insider Buying (0/2): No specific insider buying transactions or dollar amounts were identified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dividend-paying stock across 10 weighted core and dividend metrics. BMS clears the liquidity floor easily (~$765M daily dollar volume) and scores at maximum on ROE (46.60%) and Forward P/E (9.94, well below the 20x target), with profit margin of 18.87% scoring just under target. D/E of 202% is a meaningful drag (scoring 0.43), reflecting leverage taken on for acquisitions funding the Growth Portfolio buildout, and both revenue growth metrics are modest — YoY of 3.11% and 5yr CAGR of only 1.17%, reflecting the drag from patent cliffs on legacy products even as the Growth Portfolio expands. On dividend quality, 94 consecutive years of payments (2x weight, at maximum) and 17 consecutive years of increases anchor a strong score, with a conservative payout ratio (~55%) and 5yr dividend growth CAGR of 5.51% (2x weight) just under the 6%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BMS shows genuine elements of long-term thinking — a 94-year unbroken dividend record, a decade-long ASPIRE commitment to expand medicine access in low- and middle-income countries, and sustained R&amp;D investment through a difficult patent-cliff transition rather than simply harvesting legacy franchises. But persistent Glassdoor complaints about leadership culture and instability, no specific evidence of leaders sacrificing near-term results for principled long-term bets, and pipeline delays (Milvexian, Cobenfy) driven by slower enrollment rather than deliberate strategic patience keep this in finite-leaning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ASPIRE strategy's specific 2033 target of reaching 200,000+ patients in low- and middle-income countries, combined with Foundation-funded cancer screening programs for high-risk populations, gives real substance to the 'help patients prevail over serious diseases' mission, but the framing — common across large pharma — has not been distinctively tested through a defining crisis in a way that would earn top marks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'a bad culture of the US leadership' along with 'constant layoffs, instability, and concerns about mental health' point to an organization under strain rather than a high-trust environment, even though some employees cite the patient-focused mission positively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characterizing BMS's competitive posture toward rivals such as Merck, Pfizer, or AbbVie in learning-oriented rather than share-war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Successfully rebuilding the revenue base around a Growth Portfolio (Camzyos, Breyanzi, Cobenfy, Opdualag) now approaching 60% of total revenue, in direct response to loss-of-exclusivity pressure on legacy blockbusters, demonstrates real adaptive capacity, though this is standard pharma lifecycle portfolio management rather than a full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a broad, expensive late-stage pipeline (Admilparant, Arlo-cel, Iberdomide, Milvexian, Sotyktu) through a period of significant patent-cliff revenue pressure, and accepting pipeline timeline delays (Milvexian AFib to Q1 2027, Cobenfy ADEPT to early 2027) rather than rushing data, reflects some willingness to prioritize scientific rigor over near-term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Bristol-Myers Squibb's Growth Portfolio transition is working — Q2 2026 revenue of $13.0 billion (+6% YoY) was driven by 15% growth in the Growth Portfolio (Camzyos, Breyanzi, Reblozyl, Opdualag, Cobenfy) to $7.6 billion, now nearly 60% of total revenue, successfully offsetting loss-of-exclusivity pressure on legacy products like Revlimid [1]. Management raised full-year 2026 guidance to $49.0-$50.0 billion in revenue and $6.75-$7.00 in non-GAAP EPS, with Eliquis alone guided for 20-25% global revenue growth in 2026 [1]. The stock trades at a Forward P/E of just 9.94 with a 3.95% dividend yield backed by 94 consecutive years of dividend payments and 17 consecutive years of increases — an unusually inexpensive valuation for a large-cap pharma with a genuinely accelerating growth portfolio and a pipeline (Admilparant, Arlo-cel, Iberdomide, Milvexian, Sotyktu) management describes as having multibillion-dollar peak sales potential.</w:t>
      </w:r>
    </w:p>
    <w:p>
      <w:pPr>
        <w:spacing w:after="120"/>
      </w:pPr>
      <w:r>
        <w:rPr>
          <w:rFonts w:ascii="Calibri" w:hAnsi="Calibri"/>
          <w:b w:val="0"/>
          <w:color w:val="3A4A28"/>
          <w:sz w:val="20"/>
        </w:rPr>
        <w:t>The bear case centers on balance sheet leverage and execution risk in a still-transitioning portfolio. D/E of 202% is elevated, a legacy of acquisitions used to build the Growth Portfolio, and while ROE of 46.60% looks strong, it is partly a function of that leverage rather than pure operating efficiency. Revenue growth remains modest on a trailing basis (3.11% YoY, just 1.17% 5yr CAGR) because legacy loss-of-exclusivity headwinds are still working through the base even as the Growth Portfolio expands — the market has not yet been convinced the inflection is durable. Two important pipeline readouts were pushed out during 2026 (Milvexian's atrial fibrillation study to Q1 2027, and Cobenfy's ADEPT Alzheimer's psychosis program to early 2027) due to slower-than-expected enrollment, a reminder that clinical execution risk remains even for a well-capitalized major pharma. Glassdoor reviews citing 'constant layoffs, instability, and concerns about mental health' under current U.S. leadership raise questions about organizational health during a period requiring sustained commercial and R&amp;D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Growth Portfolio momentum (currently +15% YoY, ~60% of total revenue) sustaining the offset against legacy loss-of-exclusivity pressure through the back half of 2026 [1]</w:t>
      </w:r>
    </w:p>
    <w:p>
      <w:pPr>
        <w:spacing w:before="40" w:after="40"/>
        <w:ind w:left="283"/>
      </w:pPr>
      <w:r>
        <w:rPr>
          <w:rFonts w:ascii="Calibri" w:hAnsi="Calibri"/>
          <w:b/>
          <w:color w:val="4A6B25"/>
          <w:sz w:val="20"/>
        </w:rPr>
        <w:t xml:space="preserve">2. </w:t>
      </w:r>
      <w:r>
        <w:rPr>
          <w:rFonts w:ascii="Calibri" w:hAnsi="Calibri"/>
          <w:b w:val="0"/>
          <w:color w:val="3A4A28"/>
          <w:sz w:val="20"/>
        </w:rPr>
        <w:t>Pivotal pipeline readouts expected by year-end 2026 across Admilparant, Arlo-cel, Iberdomide, and Sotyktu, any of which could unlock multibillion-dollar peak sales potential if positive [1]</w:t>
      </w:r>
    </w:p>
    <w:p>
      <w:pPr>
        <w:spacing w:before="40" w:after="40"/>
        <w:ind w:left="283"/>
      </w:pPr>
      <w:r>
        <w:rPr>
          <w:rFonts w:ascii="Calibri" w:hAnsi="Calibri"/>
          <w:b/>
          <w:color w:val="4A6B25"/>
          <w:sz w:val="20"/>
        </w:rPr>
        <w:t xml:space="preserve">3. </w:t>
      </w:r>
      <w:r>
        <w:rPr>
          <w:rFonts w:ascii="Calibri" w:hAnsi="Calibri"/>
          <w:b w:val="0"/>
          <w:color w:val="3A4A28"/>
          <w:sz w:val="20"/>
        </w:rPr>
        <w:t>Eliquis global revenue growth of 20-25% guided for 2026 continuing to outperform, providing a cash-flow bridge while the Growth Portfolio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of 202%) constrains balance sheet flexibility for further pipeline-building M&amp;A relative to lower-debt pharma peers</w:t>
      </w:r>
    </w:p>
    <w:p>
      <w:pPr>
        <w:spacing w:before="40" w:after="40"/>
        <w:ind w:left="283"/>
      </w:pPr>
      <w:r>
        <w:rPr>
          <w:rFonts w:ascii="Calibri" w:hAnsi="Calibri"/>
          <w:b/>
          <w:color w:val="4A6B25"/>
          <w:sz w:val="20"/>
        </w:rPr>
        <w:t xml:space="preserve">2. </w:t>
      </w:r>
      <w:r>
        <w:rPr>
          <w:rFonts w:ascii="Calibri" w:hAnsi="Calibri"/>
          <w:b w:val="0"/>
          <w:color w:val="3A4A28"/>
          <w:sz w:val="20"/>
        </w:rPr>
        <w:t>Pipeline timeline delays already seen in 2026 — Milvexian's AFib readout pushed to Q1 2027 and Cobenfy's ADEPT program to early 2027, both due to slower enrollment — signal execution risk that could recur across the remaining late-stage pipeline [1]</w:t>
      </w:r>
    </w:p>
    <w:p>
      <w:pPr>
        <w:spacing w:before="40" w:after="40"/>
        <w:ind w:left="283"/>
      </w:pPr>
      <w:r>
        <w:rPr>
          <w:rFonts w:ascii="Calibri" w:hAnsi="Calibri"/>
          <w:b/>
          <w:color w:val="4A6B25"/>
          <w:sz w:val="20"/>
        </w:rPr>
        <w:t xml:space="preserve">3. </w:t>
      </w:r>
      <w:r>
        <w:rPr>
          <w:rFonts w:ascii="Calibri" w:hAnsi="Calibri"/>
          <w:b w:val="0"/>
          <w:color w:val="3A4A28"/>
          <w:sz w:val="20"/>
        </w:rPr>
        <w:t>Persistent legacy loss-of-exclusivity drag keeping trailing revenue growth modest (3.11% YoY, 1.17% 5yr CAGR), meaning the market needs sustained multi-quarter proof the Growth Portfolio inflection is durable before re-rating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Drug discovery, clinical trials, FDA regulatory approval, and pharmaceutical manufacturing are structurally protected from AI substitution — AI can accelerate BMS's own research process but cannot replace the regulated approval pathway or physical drug manufacturing that generates the company's revenue, and no analyst commentary was identified suggesting AI threatens BMS's core business model [2]. AI Opportunity (0/1): While BMS is actively deploying AI internally (in-house ChatGPT, AI across R&amp;D and operations), no specific quantified AI-attributable revenue figure was identified, so the tiebreaker point is not awarded — AI here functions as an operational accelerant rather than a distinct revenue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Bristol-Myers Squibb Q2 2026 Earnings Release and Call — Revenue $13.0B (+6% YoY), Growth Portfolio +15% to $7.6B, Raised FY2026 Guidance, Pipeline Delays — Investing.com, GuruFocus, Benzinga,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Bristol Myers Squibb Corporate Materials — Mission, Vision and Values, AI Deployment (In-House ChatGPT, MyGrowth), Glassdoor Culture Reviews, CEO Chris Boerner — bms.com, Glassdoor, BuiltIn, 2025-2026</w:t>
      </w:r>
    </w:p>
    <w:p>
      <w:pPr>
        <w:spacing w:before="20" w:after="20"/>
        <w:ind w:left="170"/>
      </w:pPr>
      <w:r>
        <w:rPr>
          <w:rFonts w:ascii="Calibri" w:hAnsi="Calibri"/>
          <w:b/>
          <w:color w:val="4A6B25"/>
          <w:sz w:val="15"/>
        </w:rPr>
        <w:t xml:space="preserve">3. </w:t>
      </w:r>
      <w:r>
        <w:rPr>
          <w:rFonts w:ascii="Calibri" w:hAnsi="Calibri"/>
          <w:b w:val="0"/>
          <w:color w:val="3A4A28"/>
          <w:sz w:val="17"/>
        </w:rPr>
        <w:t>Bristol Myers Squibb Social Impact — ASPIRE 10-Year LMIC Access Strategy, BMS Foundation Cancer Screening Programs — bms.com/about-us/our-impact, CSRwire,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Dividend Data Sources — BMY Key Statistics: Stock Price $63.83, Forward P/E 9.94, D/E 2.02, ROE 46.60%, 94-Year Dividend History, 17 Consecutive Years of Increases, Revenue History FY2021-2026 — MacroTrends,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