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BOXL</w:t>
      </w:r>
      <w:r>
        <w:rPr>
          <w:rFonts w:ascii="Calibri" w:hAnsi="Calibri"/>
          <w:b/>
          <w:color w:val="1A2010"/>
          <w:sz w:val="40"/>
        </w:rPr>
        <w:t xml:space="preserve">  Boxlight Corporation</w:t>
      </w:r>
    </w:p>
    <w:p>
      <w:pPr>
        <w:spacing w:after="120"/>
      </w:pPr>
      <w:r>
        <w:rPr>
          <w:rFonts w:ascii="Calibri" w:hAnsi="Calibri"/>
          <w:b/>
          <w:color w:val="6E8450"/>
          <w:sz w:val="18"/>
        </w:rPr>
        <w:t>GROWTH SLEEVE · 2026-08-22 · Inspire: 36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Consumer Electronics · NASDAQ · United States</w:t>
      </w:r>
    </w:p>
    <w:p>
      <w:pPr>
        <w:spacing w:after="80"/>
      </w:pPr>
      <w:r>
        <w:rPr>
          <w:rFonts w:ascii="Calibri" w:hAnsi="Calibri"/>
          <w:b w:val="0"/>
          <w:color w:val="3A4A28"/>
          <w:sz w:val="20"/>
        </w:rPr>
        <w:t>Boxlight Corporation develops, sells, and services interactive classroom technology products including interactive displays, digital signage, campus audio systems, and collaboration software under the Clevertouch, FrontRow, and Mimio brands. The company serves K-12 education, corporate, and government markets, positioning itself as the only K-12-focused provider with a single integrated ecosystem. Headquartered in Lawrenceville, Georgia. Q2 2026 reported revenue of $25.9M (-16% YoY) with net income of $0.5M. Market cap $3.78M after a 1-for-6 reverse stock split in June 2026. Interim CEO Dale Strang since January 2024.</w:t>
      </w:r>
    </w:p>
    <w:p>
      <w:r>
        <w:rPr>
          <w:rFonts w:ascii="Calibri" w:hAnsi="Calibri"/>
          <w:b/>
          <w:color w:val="6E8450"/>
          <w:sz w:val="18"/>
        </w:rPr>
        <w:t>155 Employees · https://boxlight.com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Boxlight launched FrontRow Symphony campus communication platform and announced an August 2026 transformation strategy around an 'Integrated EdTech, Communication and Safety Ecosystem,' positioning itself as the only K-12 provider spanning interactive displays, classroom audio, digital signage, and cloud-based management [2]. However, revenue continues to decline — Q2 2026 fell 16% YoY to $25.9M and FY2025 declined 19.6% to $109.2M, indicating product launches have not reversed the structural revenue erosion [1]. AI Deployment (0/2): No AI-powered products shipping to customers and no quantified AI-driven cost savings despite the broader edtech industry rapidly integrating AI into learning platforms. Boxlight's products remain hardware-centric with limited software intelligence [2]. Market Share (0/2): Boxlight is a marginal player in the interactive display market dominated by Promethean, SMART Technologies, and ViewSonic. With $104M TTM revenue, 155 employees, and a $3.78M market cap, the company lacks competitive scale [1][5]. Product Pipeline (1/2): The transformation strategy around integrated EdTech, Communication and Safety Ecosystem represents a strategic direction, and Q2 2026 gross margin improvement to 49.8% from 35.0% suggests product mix is shifting toward higher-value offerings [1]. However, no specific next-generation products with launch dates are disclosed, and going-concern uncertainty clouds any pipeline. R&amp;D Intensity (0/1): R&amp;D spending of $0.9M in Q2 2026 represents only 3.5% of quarterly revenue, well below the technology industry average, reflecting a company focused on survival rather than product development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Boxlight's stated mission is 'building the technology infrastructure that helps schools communicate better, operate more efficiently, keep students safe, and make teaching easier every day' [3]. This is clearer than generic edtech positioning — the safety dimension adds specificity, and the focus on making teaching easier connects to a genuine educational purpose. However, the mission does not articulate a transformative vision of a better future and remains interchangeable with several edtech peers in describing functional benefits rather than inspiring a deeper cause. Community Impact (0/2): No evidence of distinctive charitable programs, community investment, or foundation activities. With 155 employees and a $3.78M market cap, the company's community reach is extremely limited [5]. Employee Retention (0/2): Glassdoor rating of 3.0/5 with only 32% recommending the company; reviews cite management issues, layoffs, and culture/values rated 2.9/5 [4]. Management team average tenure of approximately 1.8 years signals extreme leadership instability under interim CEO Dale Strang (since January 2024). Insider Buying (0/2): Insider ownership is only 0.58%. No evidence of meaningful insider buying; previous filings showed COO and CTO as net sellers of trivial amounts [5]. The $4.8M August 2026 equity raise was an external capital injection, not insider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severe weakness across all dimensions. D/E is excluded due to negative stockholders' equity (-$1.42M), and Forward P/E and PEG are excluded as unavailable [5]. ROE of -677% (deeply negative from $23.1M TTM net loss on negative equity) scores 0 at 2x weight. Revenue growth YoY of -9.2% (H1 2026 vs H1 2025) provides a marginal 0.36 score — the only non-zero metric — but Q2 2026 alone declined 16% YoY [1]. The 5-year revenue CAGR of approximately -12% (from $202M FY2021 peak to $104M TTM, reflecting post-acquisition contraction) scores 0 at 2x weight [1]. Profit margin of -20.96% scores 0. The gross margin improvement to 49.8% in Q2 (from 35.0% YoY) was partly driven by $2.8M in tariff refunds and may not be sustainable [1]. Cash of $4.30M against $43.34M debt ($34.1M short-term maturing April 2027), negative working capital of -$4.0M, and an Altman Z-Score of -2 signal severe financial distress [5]. Liquidity mechanically clears at $20.0M daily trading value ($5.66 x 3.5M avg daily volume), though the extreme daily turnover (5x float) on 667K shares outstanding reflects speculative penny stock trading rather than institutional interest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Boxlight is a company in survival mode, not playing an infinite game. With a $3.78M market cap, going-concern warnings, negative book value, $34.1M debt maturing April 2027, 2+ years of interim CEO leadership, and Nasdaq compliance challenges, the company is fighting for continued existence rather than building something enduring. The August 2026 transformation strategy announcement suggests strategic ambition, but execution requires financial resources the company does not currently possess.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Boxlight's purpose of helping schools 'communicate better, operate more efficiently, keep students safe, and make teaching easier' connects the company's work to education — a cause with genuine social value [3]. The integrated ecosystem approach (the only K-12-focused provider with displays, audio, signage, and cloud management in one platform) suggests a specific vision for how technology should serve schools. However, strategic decisions are driven entirely by survival imperatives — Nasdaq compliance, equity raises, debt restructuring, cost cutting — not by this educational purpose. The cause exists on the website but does not shape behavior.</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rating of 3.0/5 with only 32% of employees willing to recommend the company — among the lowest rates in the technology industry [4]. Reviews describe management issues, layoffs, and career opportunities rated just 2.2/5. Management average tenure of approximately 1.8 years signals extreme leadership instability. The company has reduced headcount from over 200 to 155 employees through restructuring, creating organizational uncertainty. An interim CEO for 2.5 years prevents the trust formation that requires stable, committed leadership.</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Boxlight referencing Promethean, SMART Technologies, or ViewSonic as worthy rivals from whom they learn. The recent transformation strategy announcement positions Boxlight as differentiated ('the only K-12-focused provider' with a single ecosystem) rather than acknowledging where competitors are stronger and using that to drive self-improvement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Boxlight has not demonstrated transformative strategic flexibility. The acquisition-driven growth strategy (Clevertouch, FrontRow, Mimio) created complexity and debt without strategic reinvention — revenue subsequently declined from $202M peak to $104M TTM [1]. The August 2026 transformation strategy around an integrated EdTech, Communication and Safety Ecosystem represents a potential strategic pivot, but it remains an announcement without execution evidence. The company is anchored to interactive display hardware without meaningful pivot toward software, SaaS models, or AI-native educational solutions.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in service of a cause. The 1-for-6 reverse stock split, $4.8M dilutive equity raise to regain Nasdaq compliance, and going-concern disclosure indicate leadership focused on staying listed and solvent rather than investing for the future [1][5]. CEO Dale Strang was appointed as interim CEO in January 2024 after Michael Pope's departure and remains interim after 2.5 years — the lack of a permanent CEO appointment suggests governance uncertainty rather than courageous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Boxlight operates in the K-12 interactive classroom technology market with recognized brands (Clevertouch, FrontRow, Mimio) serving a genuine need in education technology [1]. Q2 2026 showed meaningful profitability improvement: net income of $0.5M (vs. -$4.7M loss YoY), gross margin surging to 49.8% from 35.0%, and adjusted EBITDA of $4.1M (vs. $1.3M) [1]. The $4.8M equity raise in August 2026 restored Nasdaq compliance and repaid $2.25M of Whitehawk debt [1]. The August 2026 transformation strategy positions Boxlight as the only K-12-focused provider with an integrated ecosystem spanning interactive displays, classroom audio, digital signage, campus communication, and cloud management — a differentiated positioning if executed [2]. At 0.04x revenue, the stock trades at extreme distress levels, and any turnaround would produce outsized returns. The Inspire Impact Score of 36 (ALIGNED) with positive attributions across Business Ethics, Customer Privacy, and Product Access is constructive for faith-based investors.</w:t>
      </w:r>
    </w:p>
    <w:p>
      <w:pPr>
        <w:spacing w:after="120"/>
      </w:pPr>
      <w:r>
        <w:rPr>
          <w:rFonts w:ascii="Calibri" w:hAnsi="Calibri"/>
          <w:b w:val="0"/>
          <w:color w:val="3A4A28"/>
          <w:sz w:val="20"/>
        </w:rPr>
        <w:t>The bear case is severe and multi-dimensional. Revenue continues its structural decline — Q2 2026 fell 16% YoY to $25.9M and the 5-year revenue CAGR is -12% from the $202M post-acquisition peak, with no sign of a demand inflection [1]. The $43.34M total debt (including $34.1M short-term maturing April 2027 via Whitehawk) against negative equity of -$1.42M and only $4.30M cash creates existential refinancing risk — failure to restructure the Whitehawk facility would likely trigger bankruptcy [5]. The Q2 gross margin improvement to 49.8% was flattered by $2.8M in tariff refunds that may not recur [1]. The company has operated with an interim CEO (Dale Strang) for 2.5 years, signaling governance paralysis. With only 155 employees, 3.5% R&amp;D intensity, and a $3.78M market cap, Boxlight lacks the resources to compete against well-capitalized edtech rivals or integrate AI capabilities. The interactive display market faces both cyclical weakness (flat global demand) and structural headwinds from AI-native educational platforms that could shift school budgets from hardware to software.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refinancing of the $34.1M Whitehawk credit facility before April 2027 maturity would remove the going-concern overhang and could re-rate the equity significantly from the current $3.78M market cap [5]</w:t>
      </w:r>
    </w:p>
    <w:p>
      <w:pPr>
        <w:spacing w:before="40" w:after="40"/>
        <w:ind w:left="283"/>
      </w:pPr>
      <w:r>
        <w:rPr>
          <w:rFonts w:ascii="Calibri" w:hAnsi="Calibri"/>
          <w:b/>
          <w:color w:val="4A6B25"/>
          <w:sz w:val="20"/>
        </w:rPr>
        <w:t xml:space="preserve">2. </w:t>
      </w:r>
      <w:r>
        <w:rPr>
          <w:rFonts w:ascii="Calibri" w:hAnsi="Calibri"/>
          <w:b w:val="0"/>
          <w:color w:val="3A4A28"/>
          <w:sz w:val="20"/>
        </w:rPr>
        <w:t>Integrated EdTech, Communication and Safety Ecosystem transformation strategy — if executed, the only-K-12-provider positioning could create recurring SaaS revenue and differentiate from commodity display vendors [2]</w:t>
      </w:r>
    </w:p>
    <w:p>
      <w:pPr>
        <w:spacing w:before="40" w:after="40"/>
        <w:ind w:left="283"/>
      </w:pPr>
      <w:r>
        <w:rPr>
          <w:rFonts w:ascii="Calibri" w:hAnsi="Calibri"/>
          <w:b/>
          <w:color w:val="4A6B25"/>
          <w:sz w:val="20"/>
        </w:rPr>
        <w:t xml:space="preserve">3. </w:t>
      </w:r>
      <w:r>
        <w:rPr>
          <w:rFonts w:ascii="Calibri" w:hAnsi="Calibri"/>
          <w:b w:val="0"/>
          <w:color w:val="3A4A28"/>
          <w:sz w:val="20"/>
        </w:rPr>
        <w:t>Q2 2026 profitability inflection (net income $0.5M, gross margin 49.8%) could represent a genuine operational turning point if cost discipline and margin mix improvement are sustained through H2 2026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Going-concern and refinancing risk — $34.1M Whitehawk debt matures April 2027 with negative stockholders' equity, $4.30M cash, and no disclosed refinancing plan; failure to restructure triggers bankruptcy [5]</w:t>
      </w:r>
    </w:p>
    <w:p>
      <w:pPr>
        <w:spacing w:before="40" w:after="40"/>
        <w:ind w:left="283"/>
      </w:pPr>
      <w:r>
        <w:rPr>
          <w:rFonts w:ascii="Calibri" w:hAnsi="Calibri"/>
          <w:b/>
          <w:color w:val="4A6B25"/>
          <w:sz w:val="20"/>
        </w:rPr>
        <w:t xml:space="preserve">2. </w:t>
      </w:r>
      <w:r>
        <w:rPr>
          <w:rFonts w:ascii="Calibri" w:hAnsi="Calibri"/>
          <w:b w:val="0"/>
          <w:color w:val="3A4A28"/>
          <w:sz w:val="20"/>
        </w:rPr>
        <w:t>Structural revenue decline — 16% Q2 YoY decline continues a multi-year contraction from $202M peak to $104M TTM, driven by flat interactive display demand and customer budget constraints in K-12 education [1]</w:t>
      </w:r>
    </w:p>
    <w:p>
      <w:pPr>
        <w:spacing w:before="40" w:after="40"/>
        <w:ind w:left="283"/>
      </w:pPr>
      <w:r>
        <w:rPr>
          <w:rFonts w:ascii="Calibri" w:hAnsi="Calibri"/>
          <w:b/>
          <w:color w:val="4A6B25"/>
          <w:sz w:val="20"/>
        </w:rPr>
        <w:t xml:space="preserve">3. </w:t>
      </w:r>
      <w:r>
        <w:rPr>
          <w:rFonts w:ascii="Calibri" w:hAnsi="Calibri"/>
          <w:b w:val="0"/>
          <w:color w:val="3A4A28"/>
          <w:sz w:val="20"/>
        </w:rPr>
        <w:t>Governance paralysis — interim CEO Dale Strang for 2.5 years with no permanent appointment, Glassdoor 3.0/5 rating with 32% recommendation, and 155 employees create execution risk for the announced transformation strategy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Boxlight's core business — interactive displays, campus audio systems, and digital signage — involves physical hardware installed in schools that AI cannot directly substitute [1]. Classrooms still require physical displays for instruction, and Boxlight's integrated ecosystem approach (display + audio + signage + software) creates some bundling protection. However, AI-powered educational platforms represent a meaningful threat to hardware demand: AI tutoring systems (Khan Academy's Khanmigo, Google's LearnLM), AI-generated interactive content, and software-based collaboration tools could shift education budgets from hardware to software, reducing demand for expensive display purchases [2]. The global interactive display market has been flat to declining in 2025-2026, and AI-native educational experiences may further marginalize traditional hardware vendors. Boxlight's 155 employees and negative margins severely constrain its ability to integrate competitive AI features into its products. AI Opportunity (0/1): No evidence of AI-related revenue or AI-powered products shipping to customers. The company's August 2026 transformation strategy mentions an integrated ecosystem but does not reference AI capabilities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Boxlight Q2 2026 Earnings Release — Revenue $25.9M (-16% YoY), Net Income $0.5M, Gross Margin 49.8%, Adjusted EBITDA $4.1M, $4.8M Equity Raise, $2.25M Debt Repayment — BusinessWire, Yahoo Finance, August 2026</w:t>
      </w:r>
    </w:p>
    <w:p>
      <w:pPr>
        <w:spacing w:before="20" w:after="20"/>
        <w:ind w:left="170"/>
      </w:pPr>
      <w:r>
        <w:rPr>
          <w:rFonts w:ascii="Calibri" w:hAnsi="Calibri"/>
          <w:b/>
          <w:color w:val="4A6B25"/>
          <w:sz w:val="15"/>
        </w:rPr>
        <w:t xml:space="preserve">2. </w:t>
      </w:r>
      <w:r>
        <w:rPr>
          <w:rFonts w:ascii="Calibri" w:hAnsi="Calibri"/>
          <w:b w:val="0"/>
          <w:color w:val="3A4A28"/>
          <w:sz w:val="17"/>
        </w:rPr>
        <w:t>Boxlight Transformation Strategy — 'Integrated EdTech, Communication and Safety Ecosystem,' Only K-12 Provider Positioning, FrontRow Symphony — BusinessWire, StockTitan, August 2026</w:t>
      </w:r>
    </w:p>
    <w:p>
      <w:pPr>
        <w:spacing w:before="20" w:after="20"/>
        <w:ind w:left="170"/>
      </w:pPr>
      <w:r>
        <w:rPr>
          <w:rFonts w:ascii="Calibri" w:hAnsi="Calibri"/>
          <w:b/>
          <w:color w:val="4A6B25"/>
          <w:sz w:val="15"/>
        </w:rPr>
        <w:t xml:space="preserve">3. </w:t>
      </w:r>
      <w:r>
        <w:rPr>
          <w:rFonts w:ascii="Calibri" w:hAnsi="Calibri"/>
          <w:b w:val="0"/>
          <w:color w:val="3A4A28"/>
          <w:sz w:val="17"/>
        </w:rPr>
        <w:t>Boxlight Corporate Website — Mission Statement, K-12 Technology Ecosystem, Clevertouch/FrontRow/Mimio Brands — boxlight.com,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Boxlight Glassdoor Reviews — 3.0/5 Rating, 32% Recommend, Culture 2.9/5, Career 2.2/5, CEO Dale Strang Interim Since Jan 2024 —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 BOXL Key Statistics: Price $5.66, Market Cap $3.78M, ROE -677%, Profit Margin -21%, Debt $43.34M, Cash $4.30M, Altman Z -2, 667K Shares, Avg Volume 3.5M —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