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BPRE</w:t>
      </w:r>
      <w:r>
        <w:rPr>
          <w:rFonts w:ascii="Calibri" w:hAnsi="Calibri"/>
          <w:b/>
          <w:color w:val="1A2010"/>
          <w:sz w:val="40"/>
        </w:rPr>
        <w:t xml:space="preserve">  Bluerock Private Real Estate Fund</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Bluerock Private Real Estate Fund is the only NYSE-listed closed-end fund offering investors dedicated access to private institutional real estate. The largest real estate-focused closed-end fund on the market, BPRE maintains positions in 27 private equity and 5 private debt real estate investments with approximately $3.2 billion in net assets under management. Listed on NYSE in December 2025 after converting from an interval fund structure, the fund is managed by Bluerock Fund Advisor with sponsors having 100+ years of collective real estate investing experience.</w:t>
      </w:r>
    </w:p>
    <w:p>
      <w:r>
        <w:rPr>
          <w:rFonts w:ascii="Calibri" w:hAnsi="Calibri"/>
          <w:b/>
          <w:color w:val="6E8450"/>
          <w:sz w:val="18"/>
        </w:rPr>
        <w:t>https://bluerock.com/bluerock-private-real-estate-fund/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BPRE's transition from a non-traded interval fund to an NYSE-listed closed-end fund in December 2025 represents a significant structural innovation in real estate fund access, though the listing itself resulted in immediate investor losses as the market price dropped sharply below NAV [4]. The fund has since executed four distribution increases in eight months [1]. AI Deployment (0/2): No AI-powered products, services, or quantified operational AI gains; the fund operates a traditional private real estate investment model [2]. Market Share (1/2): Unique market position as the only NYSE-listed CEF providing dedicated private real estate access; the largest real estate-focused closed-end fund on the market, differentiating from public REITs and non-traded alternatives [2]. Pipeline (0/2): Approximately $700M in specialty real estate investments closed, under contract, or in pipeline, but no specific next-generation products with defined timelines [1]. R&amp;D Intensity (0/1): Not applicable to a closed-end fund 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fund's purpose — 'deliver strong, consistent tax-advantaged income while also pursuing attractive long-term capital appreciation' — is generic investment management language interchangeable with any income-focused fund [2]. No distinctive vision articulated beyond standard investor return objectives. Community Impact (0/2): No evidence of charitable programs, community investment, or philanthropic initiatives by the fund or its sponsor [2]. Employee Retention (0/2): The fund is externally managed by Bluerock Fund Advisor; no direct employee data exists for the fund entity itself [2]. Insider Buying (0/2): No evidence of meaningful insider buying by fund management. While Bluerock waived advisory fees as direct property investments exceeded $250M, this is a fee concession strategy, not personal capital commitment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IOWN Infrastructure scoring model is designed for operating companies and cannot mechanically score a closed-end fund. Standard metrics (P/E, ROE, revenue growth, profit margin, PEG) are structurally inapplicable to a CEF that holds private real estate investments [5]. The fund trades at a significant discount to NAV (~$13 market price vs. implied NAV based on $3.2B net assets), which signals market skepticism about the underlying portfolio valuation or liquidity of positions. The fund listed only 8 months ago (December 2025) with no track record as a public entity. Four distribution increases since listing demonstrate distribution growth capacity, but the distribution yield of ~12.3% at market price (vs. 7% on NAV) reflects the NAV discount rather than sustainable income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Bluerock Private Real Estate Fund operates primarily as a finite player focused on investor returns and distribution growth. The fund's strategic language centers on 'maximizing shareholder value' and rotating into 'high-growth sectors' — the vocabulary of quarterly performance optimization rather than enduring purpose. The NYSE listing created immediate investor losses, suggesting a transaction-oriented decision rather than one guided by a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fund's purpose is functional — providing 'dedicated access to private institutional real estate' — but purely transactional [2]. There is no articulated vision of transforming communities, improving housing, or advancing real estate innovation. The strategic roadmap focuses on 'rotating capital into high-growth, next generation real estate sectors' to 'maximize shareholder value,' which is standard investment management language, not a Just Cause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Bluerock's principals bring 100+ years of collective investing experience and the management team has maintained stability through the NYSE listing transition [2]. The external management structure with Bluerock Fund Advisor provides institutional-grade oversight. However, no specific evidence of exceptional team culture, employee empowerment, or organizational trust metrics exists for an externally managed fund.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Bluerock acknowledging competitors' strengths or using competitive dynamics for self-improvement. The fund positions itself as unique (only NYSE-listed private real estate CEF) rather than engaging with a competitive landscape [2]. The marketing language emphasizes differentiation through exclusivity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is rotating from 'legacy core+ holdings' into 'next generation real estate sectors' including specialty real estate, but this is incremental portfolio rebalancing, not transformative reinvention [1]. The conversion from interval fund to NYSE-listed CEF was a structural change, but one that resulted in immediate investor losses and market price erosion, suggesting the transition was executed without sufficient consideration for long-term stakeholder outcomes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list on NYSE in December 2025, converting from a non-traded interval fund to a public vehicle, was a bold structural move that accepted near-term price volatility and investor scrutiny in exchange for permanent liquidity and market access [4]. The subsequent four distribution increases in eight months demonstrate commitment to building credibility with public market investors. However, the immediate post-listing price decline and investor lawsuits suggest the transition prioritized management interests over investor protection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BPRE offers unique access to institutional private real estate through a public market vehicle, with $3.2B in net assets, a ~12.3% market distribution yield, and four distribution increases since its December 2025 NYSE listing [1][2]. The fund's strategic rotation into specialty and next-generation real estate sectors — including potential AI-driven data center and infrastructure plays — positions it for capital appreciation as institutional real estate recovers. The massive discount to NAV creates a theoretical margin of safety, and Bluerock's 100+ years of collective management experience provides operational credibility [2].</w:t>
      </w:r>
    </w:p>
    <w:p>
      <w:pPr>
        <w:spacing w:after="120"/>
      </w:pPr>
      <w:r>
        <w:rPr>
          <w:rFonts w:ascii="Calibri" w:hAnsi="Calibri"/>
          <w:b w:val="0"/>
          <w:color w:val="3A4A28"/>
          <w:sz w:val="20"/>
        </w:rPr>
        <w:t>The bear case centers on structural challenges inherent to the interval-to-CEF conversion. BPRE's immediate post-listing price collapse triggered investor lawsuits and eroded trust in management's alignment with shareholder interests [4]. The ~40%+ discount to NAV reflects market skepticism about the accuracy of private real estate valuations and the fund's ability to realize NAV through asset sales. The 12.3% market yield may be unsustainable if underlying real estate income deteriorates, and the fund's short 8-month public trading history provides no basis for assessing management's track record as a public company. The externally managed structure creates inherent conflicts of interest between the adviser's fee income and shareholder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distribution increases could narrow the NAV discount as income-seeking investors recognize the ~12% yield and management's commitment to consistent payouts</w:t>
      </w:r>
    </w:p>
    <w:p>
      <w:pPr>
        <w:spacing w:before="40" w:after="40"/>
        <w:ind w:left="283"/>
      </w:pPr>
      <w:r>
        <w:rPr>
          <w:rFonts w:ascii="Calibri" w:hAnsi="Calibri"/>
          <w:b/>
          <w:color w:val="4A6B25"/>
          <w:sz w:val="20"/>
        </w:rPr>
        <w:t xml:space="preserve">2. </w:t>
      </w:r>
      <w:r>
        <w:rPr>
          <w:rFonts w:ascii="Calibri" w:hAnsi="Calibri"/>
          <w:b w:val="0"/>
          <w:color w:val="3A4A28"/>
          <w:sz w:val="20"/>
        </w:rPr>
        <w:t>Strategic rotation into specialty real estate sectors (data centers, life sciences, single-family rental) could unlock capital appreciation as these sectors benefit from secular growth trends</w:t>
      </w:r>
    </w:p>
    <w:p>
      <w:pPr>
        <w:spacing w:before="40" w:after="40"/>
        <w:ind w:left="283"/>
      </w:pPr>
      <w:r>
        <w:rPr>
          <w:rFonts w:ascii="Calibri" w:hAnsi="Calibri"/>
          <w:b/>
          <w:color w:val="4A6B25"/>
          <w:sz w:val="20"/>
        </w:rPr>
        <w:t xml:space="preserve">3. </w:t>
      </w:r>
      <w:r>
        <w:rPr>
          <w:rFonts w:ascii="Calibri" w:hAnsi="Calibri"/>
          <w:b w:val="0"/>
          <w:color w:val="3A4A28"/>
          <w:sz w:val="20"/>
        </w:rPr>
        <w:t>Potential narrowing of the ~40%+ discount to NAV as the fund builds a public market track record and institutional investors gain comfort with the vehicle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~40%+ discount to NAV may persist or widen if private real estate valuations prove overstated or if commercial real estate fundamentals deteriorate further</w:t>
      </w:r>
    </w:p>
    <w:p>
      <w:pPr>
        <w:spacing w:before="40" w:after="40"/>
        <w:ind w:left="283"/>
      </w:pPr>
      <w:r>
        <w:rPr>
          <w:rFonts w:ascii="Calibri" w:hAnsi="Calibri"/>
          <w:b/>
          <w:color w:val="4A6B25"/>
          <w:sz w:val="20"/>
        </w:rPr>
        <w:t xml:space="preserve">2. </w:t>
      </w:r>
      <w:r>
        <w:rPr>
          <w:rFonts w:ascii="Calibri" w:hAnsi="Calibri"/>
          <w:b w:val="0"/>
          <w:color w:val="3A4A28"/>
          <w:sz w:val="20"/>
        </w:rPr>
        <w:t>The 12.3% market distribution yield may be unsustainable if underlying portfolio income declines, forcing a distribution cut that would trigger further price erosion</w:t>
      </w:r>
    </w:p>
    <w:p>
      <w:pPr>
        <w:spacing w:before="40" w:after="40"/>
        <w:ind w:left="283"/>
      </w:pPr>
      <w:r>
        <w:rPr>
          <w:rFonts w:ascii="Calibri" w:hAnsi="Calibri"/>
          <w:b/>
          <w:color w:val="4A6B25"/>
          <w:sz w:val="20"/>
        </w:rPr>
        <w:t xml:space="preserve">3. </w:t>
      </w:r>
      <w:r>
        <w:rPr>
          <w:rFonts w:ascii="Calibri" w:hAnsi="Calibri"/>
          <w:b w:val="0"/>
          <w:color w:val="3A4A28"/>
          <w:sz w:val="20"/>
        </w:rPr>
        <w:t>Investor lawsuits stemming from the interval-to-CEF conversion and immediate post-listing losses create legal liability and ongoing reputational damage that could limit institutional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Private real estate investments are physical-world assets — buildings, land, and infrastructure — that AI structurally cannot substitute or displace [2]. The fund's portfolio of 27 private equity and 5 private debt real estate investments represents ownership of tangible assets across specialty real estate sectors. AI may improve property management efficiency, tenant screening, and market analysis, but these are operational enhancements, not existential threats. Increasing AI adoption across industries may actually drive demand for data center real estate and specialty facilities, benefiting the fund's pivot toward 'next generation real estate sectors' [1]. AI Opportunity (0/1): No AI-generated revenue; the fund is a passive investment vehicle in physical real estate assets with no technology product or service component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Bluerock Private Real Estate Fund Distribution Increase and Monthly Distribution Announcements — Press Releases, June-August 2026</w:t>
      </w:r>
    </w:p>
    <w:p>
      <w:pPr>
        <w:spacing w:before="20" w:after="20"/>
        <w:ind w:left="170"/>
      </w:pPr>
      <w:r>
        <w:rPr>
          <w:rFonts w:ascii="Calibri" w:hAnsi="Calibri"/>
          <w:b/>
          <w:color w:val="4A6B25"/>
          <w:sz w:val="15"/>
        </w:rPr>
        <w:t xml:space="preserve">2. </w:t>
      </w:r>
      <w:r>
        <w:rPr>
          <w:rFonts w:ascii="Calibri" w:hAnsi="Calibri"/>
          <w:b w:val="0"/>
          <w:color w:val="3A4A28"/>
          <w:sz w:val="17"/>
        </w:rPr>
        <w:t>Bluerock.com — BPRE Fund Overview and Investment Strategy,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AltsWire — Bluerock's BPRE Waives Fees as Direct Property Push Tops $250M, 2026</w:t>
      </w:r>
    </w:p>
    <w:p>
      <w:pPr>
        <w:spacing w:before="20" w:after="20"/>
        <w:ind w:left="170"/>
      </w:pPr>
      <w:r>
        <w:rPr>
          <w:rFonts w:ascii="Calibri" w:hAnsi="Calibri"/>
          <w:b/>
          <w:color w:val="4A6B25"/>
          <w:sz w:val="15"/>
        </w:rPr>
        <w:t xml:space="preserve">4. </w:t>
      </w:r>
      <w:r>
        <w:rPr>
          <w:rFonts w:ascii="Calibri" w:hAnsi="Calibri"/>
          <w:b w:val="0"/>
          <w:color w:val="3A4A28"/>
          <w:sz w:val="17"/>
        </w:rPr>
        <w:t>The White Law Group — Bluerock Private Real Estate Fund Investor Losses and Lawsuits Investigation,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BPRE Financial Data and Fund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