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BRLS</w:t>
      </w:r>
      <w:r>
        <w:rPr>
          <w:rFonts w:ascii="Calibri" w:hAnsi="Calibri"/>
          <w:b/>
          <w:color w:val="1A2010"/>
          <w:sz w:val="40"/>
        </w:rPr>
        <w:t xml:space="preserve">  Borealis Foods Inc.</w:t>
      </w:r>
    </w:p>
    <w:p>
      <w:pPr>
        <w:spacing w:after="120"/>
      </w:pPr>
      <w:r>
        <w:rPr>
          <w:rFonts w:ascii="Calibri" w:hAnsi="Calibri"/>
          <w:b/>
          <w:color w:val="6E8450"/>
          <w:sz w:val="18"/>
        </w:rPr>
        <w:t>GROWTH SLEEVE · 2026-07-27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NASDAQ · Canada</w:t>
      </w:r>
    </w:p>
    <w:p>
      <w:pPr>
        <w:spacing w:after="80"/>
      </w:pPr>
      <w:r>
        <w:rPr>
          <w:rFonts w:ascii="Calibri" w:hAnsi="Calibri"/>
          <w:b w:val="0"/>
          <w:color w:val="3A4A28"/>
          <w:sz w:val="20"/>
        </w:rPr>
        <w:t>Borealis Foods Inc. is a food science company focused on developing and commercializing innovative, nutritious, and affordable high-protein food products. The company's proprietary complete protein dough technology delivers 20 grams of plant-based protein per serving across its Chef Woo, Chef Ramsay, Ramen Express, and Woodles brands, sold through retail and institutional/foodservice channels. The company is in severe financial distress with $0.48M cash, $65M working capital deficit, and going concern doubt. Facing Nasdaq delisting warnings. Founded in 2020, headquartered in Oakville, Ontario, Canada.</w:t>
      </w:r>
    </w:p>
    <w:p>
      <w:r>
        <w:rPr>
          <w:rFonts w:ascii="Calibri" w:hAnsi="Calibri"/>
          <w:b/>
          <w:color w:val="6E8450"/>
          <w:sz w:val="18"/>
        </w:rPr>
        <w:t>100 Employees · https://www.borealisfoods.com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Borealis developed the first complete protein dough containing all nine essential amino acids and launched multiple branded products (Chef Woo, Chef Ramsay by Gordon Ramsay, Ramen Express, Woodles) into retail and foodservice channels [1][2]. The partnership with Gordon Ramsay brought brand recognition. However, revenue of $7.37M quarterly ($29.5M annualized) after years of operation demonstrates very limited commercial traction. AI Deployment (0/2): No AI deployment in manufacturing, product development, or operations. The company is a small food manufacturer focused on food science innovation, not technology. Product Pipeline (1/2): CEO Soltanzadeh highlighted expanding manufacturing partnerships with two major global food manufacturers as co-packing customers, and new product rollout expanding in US and Canada as of July 2026 [2]. The institutional/foodservice channel provides a second distribution pathway. R&amp;D Intensity (1/1): For a company of this size, R&amp;D in food science is a core competency — the proprietary complete protein dough technology represents genuine innovation in food manufacturing that peers have not replicated [1][2]. Market Share (0/2): Negligible market share in the massive global packaged food and ramen market. Revenue of $29.5M annualized is invisible against industry leaders.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Borealis positions itself around making nutritious, affordable food accessible — connecting protein-rich food to underserved markets including institutional buyers (schools, hospitals, military) [1][2]. This is a clear, specific purpose that connects business activity to a genuine social need (affordable nutrition), though the company is too young and small to validate this purpose through decades of execution. Community Impact (1/2): The institutional/foodservice channel focus, including products targeting schools and hospitals, suggests alignment with food access for underserved populations. The 20g complete plant-based protein per serving addresses a genuine nutrition gap in affordable food. However, no specific charitable programs or community investment dollar amounts were identified [2]. Employee Retention (0/2): No employee retention data available for this small, pre-profit company with approximately 100 employees. Insider Buying (0/2): CEO Reza Soltanzadeh was formally hired in July 2024. No data on insider buying or selling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263,745 shares at $1.51 per share equals $398,255 in daily dollar volume, below the $1,000,000 liquidity floor. Infrastructure score is automatically set to 0 regardless of other metrics [4]. Underlying fundamentals are severely distressed: Q1 2026 revenue of $7.37M (up 8% YoY) with a net loss of $3.51M (-47.6% margin) [1]. Cash of $0.48M as of March 31, 2026 against total liabilities of $73.65M and total assets of $50.95M produces negative equity and a working capital deficit of approximately $65M [1][3]. The company has received Nasdaq noncompliance warnings for both late 10-K filing and failure to maintain $35M minimum market value, with a compliance deadline of December 29, 2026 [3]. Substantial doubt about the ability to continue as a going concern has been raised.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Borealis Foods has the germ of an infinite mindset — a genuine purpose around nutritious, affordable food — but the company is too young, too small, and too financially distressed to demonstrate any of the qualities Sinek values: consistency through adversity, trusting teams, existential flexibility, or courageous leadership. The company is in survival mode with $0.48M cash and Nasdaq delisting warnings, which inherently makes every decision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Borealis articulates a purpose around making nutritious, affordable, high-protein food accessible to underserved populations through institutional channels (schools, hospitals) and affordable retail products [2]. This is a genuine cause that connects the company's work to a meaningful social need. However, the purpose has not been tested through adversity or validated by sustained execution — the company is only six years old, pre-profit, and fighting to maintain its Nasdaq listing [3]. Sinek would say the cause is well-articulated but not yet earned.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available to assess organizational trust. The company has approximately 100 employees with high leadership turnover risk given the financial distress. CEO Soltanzadeh was hired only in July 2024, giving limited tenure. The $0.48M cash position and going concern doubt create an environment where employee anxiety about job security likely dominates any trust culture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Borealis operates in a massive, fragmented food market but does not reference competitors or competitive learning in its public communications. The company is too small for competitive dynamics to be publicly discussed.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Borealis Foods is too young and small to have faced a test of existential flexibility. The company has operated the same business model since inception — developing and selling protein-enriched food products — without any strategic pivot or business model transformation. The addition of co-packing customers and institutional channels represents incremental expansion, not transformation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Soltanzadeh has continued to invest in R&amp;D, marketing (Gordon Ramsay partnership), and manufacturing partnerships while the company operates with $0.48M cash and going concern doubt [1][2]. This could be interpreted as conviction or as recklessness depending on the outcome. There is no evidence of sacrificing short-term results for long-term capability in any meaningful sense — the company has no short-term results to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Borealis Foods has a genuinely innovative product — the first complete protein dough with all nine essential amino acids, delivering 20g plant-based protein per serving — and is expanding distribution through two major global food manufacturers as co-packing partners [1][2]. Q1 2026 revenue grew 8% YoY to $7.37M, and the institutional/foodservice channel (schools, hospitals, military) offers a high-volume distribution pathway. If the co-packing partnerships scale and the protein ramen category gains mainstream consumer traction, the company could reach a revenue inflection point.</w:t>
      </w:r>
    </w:p>
    <w:p>
      <w:pPr>
        <w:spacing w:after="120"/>
      </w:pPr>
      <w:r>
        <w:rPr>
          <w:rFonts w:ascii="Calibri" w:hAnsi="Calibri"/>
          <w:b w:val="0"/>
          <w:color w:val="3A4A28"/>
          <w:sz w:val="20"/>
        </w:rPr>
        <w:t>The company faces existential financial risk: $0.48M cash against a $65M working capital deficit and $73.65M in total liabilities exceeding $50.95M in total assets as of March 31, 2026 [1][3]. Nasdaq has issued noncompliance warnings for both late filing and failure to maintain the $35M minimum market value threshold, with a December 29, 2026 compliance deadline [3]. The daily dollar trading volume of $398K is below the $1M liquidity floor, making the stock essentially untradeable for institutional investors. Revenue of $7.37M quarterly with a -47.6% profit margin means the company burns roughly $3.5M per quarter with virtually no cash runway. Survival likely requires dilutive equity raises or debt financing at punitive terms. Going concern doubt is explicitly raised in financial filings. This is a speculative venture-stage company, not an investable public equity.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Co-packing partnerships with two major global food manufacturers scaling production could drive step-function revenue growth beyond the current $29.5M annualized run-rate</w:t>
      </w:r>
    </w:p>
    <w:p>
      <w:pPr>
        <w:spacing w:before="40" w:after="40"/>
        <w:ind w:left="283"/>
      </w:pPr>
      <w:r>
        <w:rPr>
          <w:rFonts w:ascii="Calibri" w:hAnsi="Calibri"/>
          <w:b/>
          <w:color w:val="4A6B25"/>
          <w:sz w:val="20"/>
        </w:rPr>
        <w:t xml:space="preserve">2. </w:t>
      </w:r>
      <w:r>
        <w:rPr>
          <w:rFonts w:ascii="Calibri" w:hAnsi="Calibri"/>
          <w:b w:val="0"/>
          <w:color w:val="3A4A28"/>
          <w:sz w:val="20"/>
        </w:rPr>
        <w:t>Institutional/foodservice channel wins in schools, hospitals, or military procurement could provide large, recurring purchase orders for high-protein products</w:t>
      </w:r>
    </w:p>
    <w:p>
      <w:pPr>
        <w:spacing w:before="40" w:after="40"/>
        <w:ind w:left="283"/>
      </w:pPr>
      <w:r>
        <w:rPr>
          <w:rFonts w:ascii="Calibri" w:hAnsi="Calibri"/>
          <w:b/>
          <w:color w:val="4A6B25"/>
          <w:sz w:val="20"/>
        </w:rPr>
        <w:t xml:space="preserve">3. </w:t>
      </w:r>
      <w:r>
        <w:rPr>
          <w:rFonts w:ascii="Calibri" w:hAnsi="Calibri"/>
          <w:b w:val="0"/>
          <w:color w:val="3A4A28"/>
          <w:sz w:val="20"/>
        </w:rPr>
        <w:t>Successful recapitalization or strategic partnership that addresses the $65M working capital deficit and Nasdaq compliance issues before the December 2026 deadline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risk: $0.48M cash with $3.5M quarterly cash burn rate means the company may not survive to Q4 2026 without immediate capital raising at likely severely dilutive terms</w:t>
      </w:r>
    </w:p>
    <w:p>
      <w:pPr>
        <w:spacing w:before="40" w:after="40"/>
        <w:ind w:left="283"/>
      </w:pPr>
      <w:r>
        <w:rPr>
          <w:rFonts w:ascii="Calibri" w:hAnsi="Calibri"/>
          <w:b/>
          <w:color w:val="4A6B25"/>
          <w:sz w:val="20"/>
        </w:rPr>
        <w:t xml:space="preserve">2. </w:t>
      </w:r>
      <w:r>
        <w:rPr>
          <w:rFonts w:ascii="Calibri" w:hAnsi="Calibri"/>
          <w:b w:val="0"/>
          <w:color w:val="3A4A28"/>
          <w:sz w:val="20"/>
        </w:rPr>
        <w:t>Nasdaq noncompliance on market value ($35M minimum) and late financial filings creates delisting risk by December 29, 2026, which would destroy remaining equity value and institutional access</w:t>
      </w:r>
    </w:p>
    <w:p>
      <w:pPr>
        <w:spacing w:before="40" w:after="40"/>
        <w:ind w:left="283"/>
      </w:pPr>
      <w:r>
        <w:rPr>
          <w:rFonts w:ascii="Calibri" w:hAnsi="Calibri"/>
          <w:b/>
          <w:color w:val="4A6B25"/>
          <w:sz w:val="20"/>
        </w:rPr>
        <w:t xml:space="preserve">3. </w:t>
      </w:r>
      <w:r>
        <w:rPr>
          <w:rFonts w:ascii="Calibri" w:hAnsi="Calibri"/>
          <w:b w:val="0"/>
          <w:color w:val="3A4A28"/>
          <w:sz w:val="20"/>
        </w:rPr>
        <w:t>Daily dollar trading volume of $398K is below the $1M IOWN liquidity floor, making the stock untradeable for any meaningful portfolio allocation and signaling potential terminal illiquidity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Borealis Foods manufactures physical food products — ramen, ready-to-eat meals, and protein-enriched products — using proprietary food science and physical manufacturing facilities [1][2]. AI cannot substitute for food production: raw materials must be sourced, dough must be mixed, products must be cooked, packaged, and shipped to retail and foodservice customers. The food manufacturing industry is driven by consumer taste preferences, nutritional science, supply chain logistics, and regulatory compliance (FDA, CFIA), none of which face meaningful AI substitution risk. AI might marginally improve production efficiency or demand forecasting, but it creates zero risk of displacing the core business. AI Opportunity (0/1): No AI revenue, products, or initiatives. Borealis is a food science company with no technology-related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Borealis Foods Q1 2026 10-Q Filing — TradingView,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Borealis Foods CEO Manufacturing Partnerships and Product Expansion — GlobeNewsWire, July 2026</w:t>
      </w:r>
    </w:p>
    <w:p>
      <w:pPr>
        <w:spacing w:before="20" w:after="20"/>
        <w:ind w:left="170"/>
      </w:pPr>
      <w:r>
        <w:rPr>
          <w:rFonts w:ascii="Calibri" w:hAnsi="Calibri"/>
          <w:b/>
          <w:color w:val="4A6B25"/>
          <w:sz w:val="15"/>
        </w:rPr>
        <w:t xml:space="preserve">3. </w:t>
      </w:r>
      <w:r>
        <w:rPr>
          <w:rFonts w:ascii="Calibri" w:hAnsi="Calibri"/>
          <w:b w:val="0"/>
          <w:color w:val="3A4A28"/>
          <w:sz w:val="17"/>
        </w:rPr>
        <w:t>Borealis Foods Nasdaq Noncompliance and Delisting Warnings — Globe and Mail, StockTitan, 2026</w:t>
      </w:r>
    </w:p>
    <w:p>
      <w:pPr>
        <w:spacing w:before="20" w:after="20"/>
        <w:ind w:left="170"/>
      </w:pPr>
      <w:r>
        <w:rPr>
          <w:rFonts w:ascii="Calibri" w:hAnsi="Calibri"/>
          <w:b/>
          <w:color w:val="4A6B25"/>
          <w:sz w:val="15"/>
        </w:rPr>
        <w:t xml:space="preserve">4. </w:t>
      </w:r>
      <w:r>
        <w:rPr>
          <w:rFonts w:ascii="Calibri" w:hAnsi="Calibri"/>
          <w:b w:val="0"/>
          <w:color w:val="3A4A28"/>
          <w:sz w:val="17"/>
        </w:rPr>
        <w:t>Morningstar / CNBC — BRLS Key Statistics and Trading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