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BTE</w:t>
      </w:r>
      <w:r>
        <w:rPr>
          <w:rFonts w:ascii="Calibri" w:hAnsi="Calibri"/>
          <w:b/>
          <w:color w:val="1A2010"/>
          <w:sz w:val="40"/>
        </w:rPr>
        <w:t xml:space="preserve">  Baytex Energy Corp.</w:t>
      </w:r>
    </w:p>
    <w:p>
      <w:pPr>
        <w:spacing w:after="120"/>
      </w:pPr>
      <w:r>
        <w:rPr>
          <w:rFonts w:ascii="Calibri" w:hAnsi="Calibri"/>
          <w:b/>
          <w:color w:val="6E8450"/>
          <w:sz w:val="18"/>
        </w:rPr>
        <w:t>GROWTH SLEEVE · 2026-08-13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Canada</w:t>
      </w:r>
    </w:p>
    <w:p>
      <w:pPr>
        <w:spacing w:after="80"/>
      </w:pPr>
      <w:r>
        <w:rPr>
          <w:rFonts w:ascii="Calibri" w:hAnsi="Calibri"/>
          <w:b w:val="0"/>
          <w:color w:val="3A4A28"/>
          <w:sz w:val="20"/>
        </w:rPr>
        <w:t>Baytex Energy Corp is a Canadian-based oil and natural gas company with operations in Alberta (Peace River, Viking, Duvernay) and the Eagle Ford shale in Texas, following the transformative 2023 acquisition of Ranger Oil Corporation. The company produces approximately 71,200 boe/d (Q2 2026, +11% YoY) and guided for 6-8% annual production growth through 2028. New CEO Chad Lundberg (appointed May 2026) succeeds Eric Greager, focusing on technical leadership and disciplined capital allocation. Baytex achieved a net cash position of CAD $567M post-asset sale, with Q2 2026 EPS of C$0.24 beating expectations. Market cap approximately $3.1B USD.</w:t>
      </w:r>
    </w:p>
    <w:p>
      <w:r>
        <w:rPr>
          <w:rFonts w:ascii="Calibri" w:hAnsi="Calibri"/>
          <w:b/>
          <w:color w:val="6E8450"/>
          <w:sz w:val="18"/>
        </w:rPr>
        <w:t>https://www.baytexenergy.com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Baytex executed a company-transforming acquisition of Ranger Oil Corporation in 2023, expanding from a Canadian heavy oil producer into a diversified Canada/U.S. operator with Eagle Ford shale assets in Texas [1]. This opened significant new revenue streams and production capacity, enabling the 71,200 boe/d production achieved in Q2 2026. The subsequent strategic asset divestiture to achieve a net cash position of CAD $567M demonstrates disciplined portfolio management. However, the core business model remains conventional E&amp;P. AI Deployment (0/2): No evidence of AI-powered products, services, or quantified internal AI-driven efficiency gains. Baytex operates conventional E&amp;P assets with no disclosed AI strategy [3]. Market Share (0/2): Baytex is a mid-cap E&amp;P operator with ~71,200 boe/d production — a meaningful but undifferentiated participant in the North American E&amp;P landscape with no market share leadership in any category. Product Pipeline (0/2): The company's 6-8% annual production growth guidance through 2028 reflects a standard drilling program, not next-generation product innovation. R&amp;D Intensity (0/1): As a conventional E&amp;P operator, Baytex has no meaningful R&amp;D program.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Baytex describes itself as focused on 'responsible energy development' and 'creating value for shareholders through disciplined capital allocation' — generic language interchangeable with any mid-cap E&amp;P company, with no distinctive vision of a better future [3]. Community Impact (1/2): Baytex has published ESG reports since 2012 and released its inaugural TCFD (Task Force on Climate-related Financial Disclosures) report, demonstrating institutional commitment to environmental transparency and community impact [3]. However, no specific charitable giving dollar amounts or distinctive community investment programs were identified. Employee Retention (0/2): The CEO transition from Eric Greager to Chad Lundberg in May 2026 introduces leadership instability. While the transition was orderly (post-AGM), no evidence of employee tenure, retention programs, or mission-driven culture was found [4]. Insider Buying (0/2): No evidence of meaningful insider buying activity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Baytex's standout strength is its fortress balance sheet — D/E of just 6.9% (CAD $149M debt / CAD $2,153M equity) following the strategic asset sale that produced a net cash position of CAD $567M [1][2]. Forward P/E of 18.74 is below the 20 target. However, profitability metrics are deeply negative on a trailing basis: FY2025 net loss of CAD $604M produced ROE of approximately -28% and profit margin of -40.8% [2]. The 5-year revenue CAGR of -0.66% reflects the dramatic post-Ranger Oil boom-bust cycle (CAD $2.7B peak in FY2023 to CAD $1.5B in FY2025). FY2025 vs FY2024 revenue declined -8.2% in CAD terms. Q2 2026 shows strong recovery with production up 11% YoY and EPS of C$0.24 (+20% YoY), but TTM trailing figures remain weak. Liquidity is ample at ~$48.4M daily dollar volume (11.1M shares x $4.36).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Baytex operates with a mixed-to-finite mindset. The Ranger Oil acquisition in 2023 demonstrated strategic ambition and willingness to transform, but the company's strategic language remains firmly oriented around production growth targets, capital allocation, and shareholder returns — finite-game metrics [1]. The May 2026 CEO transition from Greager to Lundberg introduces uncertainty about strategic continuity, though the orderly handoff and 14 years of ESG reporting suggest some institutional stability. The company plays to optimize, not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Baytex has no articulated Just Cause. The company exists to produce oil and gas efficiently and return capital to shareholders — a finite objective with no vision of a future state that transcends the company's products or current leadership [3]. The strategic language in earnings calls focuses on production targets (71,000 boe/d guidance), capital allocation, and shareholder returns rather than a purpose that inspires beyond financial metrics.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Baytex has maintained organizational stability sufficient for consistent ESG reporting since 2012 and executed an orderly CEO transition in May 2026 [3][4]. CEO Lundberg was described as having 'a proven track record of building high-performing teams,' suggesting focus on people development. However, the CEO transition itself creates uncertainty, and no specific evidence of employee empowerment, tenure data, or cultural practices that create psychological safety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Baytex's competitive positioning focuses on per-BOE cost efficiency, production growth rates, and capital allocation discipline — standard finite-game metrics in the E&amp;P industry. No management commentary referencing learning from competitors' strengths or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2023 Ranger Oil acquisition fundamentally expanded Baytex from a Canadian-only operator into a dual-basin company with significant U.S. Eagle Ford exposure [1]. This was a meaningful strategic evolution — entering a new geography with different geology, regulatory environment, and operational requirements. The subsequent asset divestiture to achieve net cash demonstrates portfolio flexibility. However, the changes were acquisitive and incremental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Baytex's $2.5B Ranger Oil acquisition in 2023 was a bold strategic bet that doubled the company's production base and transformed its geographic footprint [1]. The subsequent decision to divest non-core assets and achieve a net cash position of CAD $567M demonstrates discipline — choosing balance sheet strength over revenue maximization. New CEO Lundberg's focus on 'technical leadership' suggests operational courage. However, these moves were driven by financial optimization rather than conviction in a long-term vision beyond shareholder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Baytex offers a compelling turnaround thesis anchored by a fortress balance sheet: net cash of CAD $567M, D/E of just 6.9%, and a new credit facility providing financial flexibility [1][2]. Q2 2026 production of 71,200 boe/d (+11% YoY) exceeded guidance, with management raising full-year guidance and targeting 6-8% annual growth through 2028. Forward P/E of 18.74 on improving profitability (Q2 EPS C$0.24, +20% YoY) prices in significant upside if commodity prices remain supportive. The dual-basin portfolio (Alberta + Eagle Ford) provides operational diversification, and the Inspire Impact Score of 0 (MIXED) makes the stock accessible to faith-based mandates without strong negative or positive signals.</w:t>
      </w:r>
    </w:p>
    <w:p>
      <w:pPr>
        <w:spacing w:after="120"/>
      </w:pPr>
      <w:r>
        <w:rPr>
          <w:rFonts w:ascii="Calibri" w:hAnsi="Calibri"/>
          <w:b w:val="0"/>
          <w:color w:val="3A4A28"/>
          <w:sz w:val="20"/>
        </w:rPr>
        <w:t>The bear case reflects significant structural challenges: Baytex lost CAD $604M in FY2025 (-40.8% profit margin) despite CAD $1.5B in revenue, driven by commodity price weakness and production mix shifts [2]. The 5-year revenue CAGR of -0.7% masks extreme cyclicality (CAD $2.7B peak in FY2023 to CAD $1.5B in FY2025), demonstrating the vulnerability of a pure commodity business to price cycles. CEO Chad Lundberg assumed leadership just three months ago (May 2026), creating execution uncertainty during a critical growth phase. The dividend yield of 1.50% is too low to qualify as an income play, and the TTM EPS of -$0.67 USD means the stock is priced on forward estimates that depend entirely on oil prices sustaining above $70/bbl. With no innovation, no AI strategy, and no distinctive mission, Baytex offers commodity exposure without the return-on-intention attributes IOWN seeks.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Production growth trajectory to 72,000 boe/d exit rate in 2026 and 6-8% annual growth through 2028, driven by the expanded dual-basin drilling program in Alberta and Eagle Ford [1]</w:t>
      </w:r>
    </w:p>
    <w:p>
      <w:pPr>
        <w:spacing w:before="40" w:after="40"/>
        <w:ind w:left="283"/>
      </w:pPr>
      <w:r>
        <w:rPr>
          <w:rFonts w:ascii="Calibri" w:hAnsi="Calibri"/>
          <w:b/>
          <w:color w:val="4A6B25"/>
          <w:sz w:val="20"/>
        </w:rPr>
        <w:t xml:space="preserve">2. </w:t>
      </w:r>
      <w:r>
        <w:rPr>
          <w:rFonts w:ascii="Calibri" w:hAnsi="Calibri"/>
          <w:b w:val="0"/>
          <w:color w:val="3A4A28"/>
          <w:sz w:val="20"/>
        </w:rPr>
        <w:t>Fortress balance sheet with CAD $567M net cash and D/E of 6.9% provides firepower for accretive acquisitions, production investment, or enhanced shareholder returns as profitability recovers [2]</w:t>
      </w:r>
    </w:p>
    <w:p>
      <w:pPr>
        <w:spacing w:before="40" w:after="40"/>
        <w:ind w:left="283"/>
      </w:pPr>
      <w:r>
        <w:rPr>
          <w:rFonts w:ascii="Calibri" w:hAnsi="Calibri"/>
          <w:b/>
          <w:color w:val="4A6B25"/>
          <w:sz w:val="20"/>
        </w:rPr>
        <w:t xml:space="preserve">3. </w:t>
      </w:r>
      <w:r>
        <w:rPr>
          <w:rFonts w:ascii="Calibri" w:hAnsi="Calibri"/>
          <w:b w:val="0"/>
          <w:color w:val="3A4A28"/>
          <w:sz w:val="20"/>
        </w:rPr>
        <w:t>New CEO Chad Lundberg's focus on 'technical leadership and disciplined capital allocation' could drive operational improvements and cost efficiencies that the market has not yet priced in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Pure commodity exposure with zero pricing power — FY2025's CAD $604M net loss demonstrates how oil price declines can wipe out profitability despite production growth, and the 5-year revenue CAGR of -0.7% reflects persistent cyclical vulnerability [2]</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as Chad Lundberg (May 2026) is only three months into the role, with no track record at Baytex — strategic missteps during the ramp to 72,000 boe/d could derail the growth trajectory [4]</w:t>
      </w:r>
    </w:p>
    <w:p>
      <w:pPr>
        <w:spacing w:before="40" w:after="40"/>
        <w:ind w:left="283"/>
      </w:pPr>
      <w:r>
        <w:rPr>
          <w:rFonts w:ascii="Calibri" w:hAnsi="Calibri"/>
          <w:b/>
          <w:color w:val="4A6B25"/>
          <w:sz w:val="20"/>
        </w:rPr>
        <w:t xml:space="preserve">3. </w:t>
      </w:r>
      <w:r>
        <w:rPr>
          <w:rFonts w:ascii="Calibri" w:hAnsi="Calibri"/>
          <w:b w:val="0"/>
          <w:color w:val="3A4A28"/>
          <w:sz w:val="20"/>
        </w:rPr>
        <w:t>Dividend yield of 1.50% is insufficient for income mandates, and the stock's beta of 0.57 with extreme cyclicality creates asymmetric downside risk in any commodity price correction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Baytex's core business — drilling and extracting oil and natural gas from Alberta and Eagle Ford formations — is fundamentally physical-world operations that AI structurally cannot displace. Wells must be drilled, completed, and operated regardless of AI advances. The regulatory environment (Alberta Energy Regulator, Texas Railroad Commission, environmental permitting) adds further insulation [3]. Oil and gas extraction requires boots on the ground, heavy equipment, and geological expertise that AI augments but cannot substitute. As AI data center buildouts accelerate electricity demand, natural gas benefits from increased baseload power generation needs. AI Opportunity (0/1): Baytex generates no revenue from AI-related products or services. The company operates conventional E&amp;P assets with no disclosed AI strategy or AI-enabled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Baytex Energy Q2 2026 Earnings Release — Production 71,200 boe/d (+11% YoY), EPS C$0.24 (+20%), Guidance Raised to 71,000 boe/d, Net Cash CAD $567M,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BTE Financial Data: Forward P/E 18.74, D/E 6.9%, Revenue 5yr CAGR -0.7%, Market Cap $3.05B,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Baytex Energy Corporate Website — ESG Reporting Since 2012, TCFD Report, Management Team,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Baytex CEO Transition — Chad Lundberg Succeeds Eric Greager Post-AGM May 2026 — TipRanks, Intellectia,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