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BULL</w:t>
      </w:r>
      <w:r>
        <w:rPr>
          <w:rFonts w:ascii="Calibri" w:hAnsi="Calibri"/>
          <w:b/>
          <w:color w:val="1A2010"/>
          <w:sz w:val="40"/>
        </w:rPr>
        <w:t xml:space="preserve">  Webull Corporation</w:t>
      </w:r>
    </w:p>
    <w:p>
      <w:pPr>
        <w:spacing w:after="120"/>
      </w:pPr>
      <w:r>
        <w:rPr>
          <w:rFonts w:ascii="Calibri" w:hAnsi="Calibri"/>
          <w:b/>
          <w:color w:val="6E8450"/>
          <w:sz w:val="18"/>
        </w:rPr>
        <w:t>GROWTH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Webull Corporation operates a digital investment platform enabling self-directed retail investors to trade equities, options, ETFs, cryptocurrencies, futures, and corporate bonds across 15+ countries. The company launched its AI-powered Vega Portfolio advisor in July 2026 and operates an MCP server for third-party AI agent integration. Founded in 2016 by Anquan Wang, went public via SPAC merger in April 2025, headquartered in Saint Petersburg, Florida. Q1 2026 equity notional volume surged 104% to $261 billion, options volume rose 31%, and futures volume grew 84% YoY. Market cap approximately $4.4B.</w:t>
      </w:r>
    </w:p>
    <w:p>
      <w:r>
        <w:rPr>
          <w:rFonts w:ascii="Calibri" w:hAnsi="Calibri"/>
          <w:b/>
          <w:color w:val="6E8450"/>
          <w:sz w:val="18"/>
        </w:rPr>
        <w:t>1,396 Employees · https://www.webullcorp.com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Webull grew full-year 2025 revenue 46% YoY to $571M, expanded into the EU (Netherlands), launched crypto trading, corporate bonds, and prediction markets, and went public via SPAC [1]. Q1 2026 trading volumes surged across all asset classes: equity notional +104% to $261B, options volume +31% to 159M contracts, futures volume +84% YoY [2]. AI Deployment (2/2): Shipped Vega AI as a real-time personalized decision partner; launched Vega Portfolio at the July 1, 2026 New York investor event as an AI-powered portfolio advisor for 'intelligent, personalized guidance' [2]. Released MCP server positioning Webull as execution infrastructure for third-party AI agents. Head of AI Jack Keating leads dedicated AI development. CEO Denier states AI integration will be 'a structural change of this business over the next 2 to 3 years.' Market Share (1/2): ~25.9M registered users and funded accounts at all-time highs, but trails Robinhood (~24M funded accounts), Schwab, and Fidelity in scale [1]. Product Pipeline (2/2): Vega Portfolio (launched July 2026), MCP server for AI agent execution, European expansion, premium subscriber doubling target for 2026 — specific products with timelines [2]. R&amp;D Intensity (1/1): 1,396 employees primarily focused on technology development; engineering-first DNA with dedicated Head of AI and significant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Webull's mission to democratize investing by making sophisticated trading tools accessible to retail investors is clear and identifies what the company does and for whom, but is not distinctive — every fintech brokerage (Robinhood, eToro, SoFi) articulates a nearly identical purpose [2]. Community Impact (0/2): No evidence of charitable programs, foundation, or community investment beyond the core product offering. Employee Retention (0/2): No publicly available employee retention or tenure data; Glassdoor presence is limited for a company with 1,396 employees. Insider Buying (0/2): No evidence of meaningful insider buying; insider transactions have primarily consisted of lockup-related activity. Founder Wang's 79.2% voting control concentrates power but does not represent open-market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Revenue continues surging at 46% YoY (score 1.0) with multi-year CAGR of ~14% (score 1.0, 2x weight) [1]. D/E of 7.5% is nearly debt-free (score 1.0). However, GAAP profitability has deteriorated significantly: Q1 2026 net loss widened 152% to $21.7M despite 36% revenue growth, as adjusted operating expenses rose 64% on marketing and technology spending [1]. Adjusted operating profit fell to $14.8M at 9.3% margin, down from ~18% in mid-2025. LTM GAAP losses are substantial due to non-cash charges (stock-based compensation, SPAC-related fair value adjustments), driving deeply negative ROE and profit margin (both score 0.0) [4]. Forward P/E is highly uncertain given near-breakeven adjusted profitability. Liquidity is strong at ~$101M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Webull demonstrates a mix of infinite and finite game thinking. The company's rapid AI adaptation (Vega Portfolio, MCP server), global expansion to 15+ countries, and surging trading volumes show technological ambition. However, the SPAC vehicle prioritized speed over trust-building, founder Wang Anquan's 79.2% voting control limits stakeholder influence, and the aggressive feature proliferation (crypto, prediction markets, futures) reflects finite-game market share capture rather than purposeful capability building. GAAP losses widening despite revenue growth raises questions about sustainable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Webull's mission to democratize investing through technology is a stated purpose that exists but is shallow in Sinek's framework — it is interchangeable with Robinhood, eToro, SoFi, and every other retail fintech brokerage [2]. The purpose doesn't shape behavior differently from competitors; the same features and aggressive product expansion are offered by all players. Leadership's narrative focuses on growth metrics and competitive positioning rather than a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of founder Anquan Wang and Group President Anthony Denier has been stable, with Head of AI Jack Keating added to drive the AI strategy [2]. The company's 1,396 employees operate in a technology-first culture. However, Wang's 79.2% voting control (on 16.4% economic ownership) concentrates power and limits board independence [3]. The China-based R&amp;D team creates a structurally complex trust dynamic, particularly given historical regulatory scrutiny over data privacy.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Denier explicitly acknowledges that the competitive battleground is shifting from UI design to AI integration, execution quality, and product access — using competitors' moves as motivation to adapt rather than language about 'beating' rivals [2]. Webull's MCP server positioning as infrastructure for third-party AI agents demonstrates learning from the competitive landscape. Head of AI Keating states AI is 'fundamentally changing how investors interact with financial markets' — framing the shift as an industry evolution requiring adaptation, not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Webull's pivot from a traditional mobile brokerage to an AI-first platform with agentic trading capabilities represents meaningful strategic evolution [2]. Vega Portfolio and the MCP server reposition the company as infrastructure for AI agents rather than just a consumer app — a significant reconceptualization. However, the company's short public history limits evidence of navigating real adversity, and the pivot is still in early stages with unproven commercial impact.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Denier's public acknowledgment that 'competing simply on a user interface on a smartphone is no longer going to be a battleground' demonstrates intellectual honesty about the company's core business being disrupted [2]. Investing in AI infrastructure (Vega Portfolio, MCP server, dedicated Head of AI) that could cannibalize the traditional app experience shows willingness to sacrifice near-term stability. However, operating expenses rising 64% while adjusted margins compress from 18% to 9.3% raises questions about investment discipline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Webull offers a high-growth fintech platform with revenue surging 46% YoY and trading volumes accelerating — Q1 2026 equity notional volume up 104% to $261B, options +31%, futures +84% [1]. At $7.32 with a $4.4B market cap, the stock trades at ~7x LTM revenue with a nearly debt-free balance sheet (D/E 7.5%). The AI-first strategy — Vega Portfolio (launched July 2026), MCP server for agentic trading, and dedicated Head of AI Jack Keating — positions Webull at the forefront of the structural shift CEO Denier describes as reshaping retail brokerage [2]. The June 2026 FINRA rule change removing pattern day trader barriers materially expands Webull's active trader addressable market.</w:t>
      </w:r>
    </w:p>
    <w:p>
      <w:pPr>
        <w:spacing w:after="120"/>
      </w:pPr>
      <w:r>
        <w:rPr>
          <w:rFonts w:ascii="Calibri" w:hAnsi="Calibri"/>
          <w:b w:val="0"/>
          <w:color w:val="3A4A28"/>
          <w:sz w:val="20"/>
        </w:rPr>
        <w:t>The bear case centers on governance risk, profitability deterioration, and competitive intensity. Founder Wang Anquan's 79.2% voting control on 16.4% economic ownership creates a dual-class structure limiting public shareholder influence [3]. GAAP losses have widened dramatically — Q1 2026 net loss grew 152% to $21.7M despite 36% revenue growth, adjusted operating margin compressed from ~18% to 9.3%, and LTM GAAP losses are substantial due to non-cash charges [1]. Payment for order flow contributed 53.3% of 2025 revenue, creating existential risk if SEC eliminates PFOF [3]. FINRA fines ($3M) and SEC penalties highlight systemic compliance gaps. The stock has declined 52% over 52 weeks, reflecting market skepticism about the path to sustainable profitability. Competition from Robinhood, Schwab, and Fidelity in AI-assisted trading intensifies the challenge of maintaining growth while achieving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Vega Portfolio (launched July 2026) and MCP server adoption could drive a structural shift from transaction-based revenue to platform-as-infrastructure, potentially commanding higher multiples as AI agent trading gains traction [2]</w:t>
      </w:r>
    </w:p>
    <w:p>
      <w:pPr>
        <w:spacing w:before="40" w:after="40"/>
        <w:ind w:left="283"/>
      </w:pPr>
      <w:r>
        <w:rPr>
          <w:rFonts w:ascii="Calibri" w:hAnsi="Calibri"/>
          <w:b/>
          <w:color w:val="4A6B25"/>
          <w:sz w:val="20"/>
        </w:rPr>
        <w:t xml:space="preserve">2. </w:t>
      </w:r>
      <w:r>
        <w:rPr>
          <w:rFonts w:ascii="Calibri" w:hAnsi="Calibri"/>
          <w:b w:val="0"/>
          <w:color w:val="3A4A28"/>
          <w:sz w:val="20"/>
        </w:rPr>
        <w:t>FINRA rule change (June 2026) removing pattern day trader barriers materially expands Webull's active trader addressable market, with Q1 trading volumes already surging 84-104% across asset classes [1]</w:t>
      </w:r>
    </w:p>
    <w:p>
      <w:pPr>
        <w:spacing w:before="40" w:after="40"/>
        <w:ind w:left="283"/>
      </w:pPr>
      <w:r>
        <w:rPr>
          <w:rFonts w:ascii="Calibri" w:hAnsi="Calibri"/>
          <w:b/>
          <w:color w:val="4A6B25"/>
          <w:sz w:val="20"/>
        </w:rPr>
        <w:t xml:space="preserve">3. </w:t>
      </w:r>
      <w:r>
        <w:rPr>
          <w:rFonts w:ascii="Calibri" w:hAnsi="Calibri"/>
          <w:b w:val="0"/>
          <w:color w:val="3A4A28"/>
          <w:sz w:val="20"/>
        </w:rPr>
        <w:t>European Union expansion and premium subscriber doubling target for 2026 could demonstrate improving unit economics and geographic diversification beyond the core U.S.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Founder Wang Anquan's 79.2% voting control and China-based R&amp;D operations create governance and geopolitical risk that could escalate via CFIUS review or regulatory restrictions on U.S. brokerage operations [3]</w:t>
      </w:r>
    </w:p>
    <w:p>
      <w:pPr>
        <w:spacing w:before="40" w:after="40"/>
        <w:ind w:left="283"/>
      </w:pPr>
      <w:r>
        <w:rPr>
          <w:rFonts w:ascii="Calibri" w:hAnsi="Calibri"/>
          <w:b/>
          <w:color w:val="4A6B25"/>
          <w:sz w:val="20"/>
        </w:rPr>
        <w:t xml:space="preserve">2. </w:t>
      </w:r>
      <w:r>
        <w:rPr>
          <w:rFonts w:ascii="Calibri" w:hAnsi="Calibri"/>
          <w:b w:val="0"/>
          <w:color w:val="3A4A28"/>
          <w:sz w:val="20"/>
        </w:rPr>
        <w:t>Payment for order flow (53.3% of 2025 revenue) concentration creates existential risk — SEC elimination of PFOF would require fundamental business model restructuring of the majority revenue stream [3]</w:t>
      </w:r>
    </w:p>
    <w:p>
      <w:pPr>
        <w:spacing w:before="40" w:after="40"/>
        <w:ind w:left="283"/>
      </w:pPr>
      <w:r>
        <w:rPr>
          <w:rFonts w:ascii="Calibri" w:hAnsi="Calibri"/>
          <w:b/>
          <w:color w:val="4A6B25"/>
          <w:sz w:val="20"/>
        </w:rPr>
        <w:t xml:space="preserve">3. </w:t>
      </w:r>
      <w:r>
        <w:rPr>
          <w:rFonts w:ascii="Calibri" w:hAnsi="Calibri"/>
          <w:b w:val="0"/>
          <w:color w:val="3A4A28"/>
          <w:sz w:val="20"/>
        </w:rPr>
        <w:t>GAAP losses widening 152% in Q1 2026 despite 36% revenue growth, with adjusted operating margin compressing from ~18% to 9.3%, suggests the path to sustainable profitability is deteriorating rather than improving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Webull's core brokerage business faces real AI substitution risk — AI-powered trading agents could bypass the app interface entirely, and CEO Denier explicitly acknowledges 'the idea of competing simply on a user interface on a smartphone is no longer going to be a battleground' [2]. Competitors Robinhood, Schwab, and Fidelity are all deploying AI capabilities aggressively. Payment for order flow (53.3% of 2025 revenue) is vulnerable if AI agents route orders directly [3]. The June 2026 FINRA rule change removing pattern day trader barriers expands Webull's addressable market but also intensifies competition. Some protection exists because brokerage requires regulatory licensing, clearing infrastructure, and custody services that AI alone cannot provide. AI Opportunity (1/1): Webull has shipped Vega AI and Vega Portfolio (July 2026) as customer-facing AI tools, launched MCP server for third-party AI agent execution, and demonstrated measurable engagement with trading volumes surging 84-104% across asset classes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Webull Q1 2026 Financial Results — Revenue $159.9M (+36%), net loss $21.7M (-152%), adjusted operating margin 9.3%, SEC 6-K filing, 2026</w:t>
      </w:r>
    </w:p>
    <w:p>
      <w:pPr>
        <w:spacing w:before="20" w:after="20"/>
        <w:ind w:left="170"/>
      </w:pPr>
      <w:r>
        <w:rPr>
          <w:rFonts w:ascii="Calibri" w:hAnsi="Calibri"/>
          <w:b/>
          <w:color w:val="4A6B25"/>
          <w:sz w:val="15"/>
        </w:rPr>
        <w:t xml:space="preserve">2. </w:t>
      </w:r>
      <w:r>
        <w:rPr>
          <w:rFonts w:ascii="Calibri" w:hAnsi="Calibri"/>
          <w:b w:val="0"/>
          <w:color w:val="3A4A28"/>
          <w:sz w:val="17"/>
        </w:rPr>
        <w:t>Webull Vega Portfolio Launch (July 1, 2026), AI Strategy, CEO Denier and Head of AI Keating Commentary — PRNewswire, Yahoo Finance, InvestmentNews, 2026</w:t>
      </w:r>
    </w:p>
    <w:p>
      <w:pPr>
        <w:spacing w:before="20" w:after="20"/>
        <w:ind w:left="170"/>
      </w:pPr>
      <w:r>
        <w:rPr>
          <w:rFonts w:ascii="Calibri" w:hAnsi="Calibri"/>
          <w:b/>
          <w:color w:val="4A6B25"/>
          <w:sz w:val="15"/>
        </w:rPr>
        <w:t xml:space="preserve">3. </w:t>
      </w:r>
      <w:r>
        <w:rPr>
          <w:rFonts w:ascii="Calibri" w:hAnsi="Calibri"/>
          <w:b w:val="0"/>
          <w:color w:val="3A4A28"/>
          <w:sz w:val="17"/>
        </w:rPr>
        <w:t>Webull Governance, Regulatory Issues — FINRA fines, SEC penalties, Wang 79.2% voting control, PFOF 53.3% of revenue — SEC 20-F, Finance Magnates,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BULL Key Statistics: market cap $4.38B, stock price $7.32, LTM revenue $607M,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