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BWIN</w:t>
      </w:r>
      <w:r>
        <w:rPr>
          <w:rFonts w:ascii="Calibri" w:hAnsi="Calibri"/>
          <w:b/>
          <w:color w:val="1A2010"/>
          <w:sz w:val="40"/>
        </w:rPr>
        <w:t xml:space="preserve">  The Baldwin Insurance Group, Inc.</w:t>
      </w:r>
    </w:p>
    <w:p>
      <w:pPr>
        <w:spacing w:after="120"/>
      </w:pPr>
      <w:r>
        <w:rPr>
          <w:rFonts w:ascii="Calibri" w:hAnsi="Calibri"/>
          <w:b/>
          <w:color w:val="6E8450"/>
          <w:sz w:val="18"/>
        </w:rPr>
        <w:t>GROWTH SLEEVE · 2026-07-25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NASDAQ · United States</w:t>
      </w:r>
    </w:p>
    <w:p>
      <w:pPr>
        <w:spacing w:after="80"/>
      </w:pPr>
      <w:r>
        <w:rPr>
          <w:rFonts w:ascii="Calibri" w:hAnsi="Calibri"/>
          <w:b w:val="0"/>
          <w:color w:val="3A4A28"/>
          <w:sz w:val="20"/>
        </w:rPr>
        <w:t>The Baldwin Insurance Group is an independent insurance distribution firm providing risk management solutions across three segments: Insurance Advisory Solutions (private risk, commercial risk, employee benefits), Underwriting, Capacity &amp; Technology Solutions (MGA platform for personal, commercial, and professional lines), and Mainstreet Insurance Solutions (personal and commercial insurance for individuals and small businesses). Founded in 2011, formerly BRP Group.</w:t>
      </w:r>
    </w:p>
    <w:p>
      <w:r>
        <w:rPr>
          <w:rFonts w:ascii="Calibri" w:hAnsi="Calibri"/>
          <w:b/>
          <w:color w:val="6E8450"/>
          <w:sz w:val="18"/>
        </w:rPr>
        <w:t>4,876 Employees · https://www.baldwin.com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Baldwin closed transformative January 2026 acquisitions of CAC Group, OBE, and Capstone representing ~$400M of pro forma revenue, with integration running ahead of schedule and $34M of a $43M three-year synergy target already actioned [1]. Q1 2026 revenue surged 29% YoY to $532.2M on these deals. AI Deployment (2/2): Baldwin announced an expanded enterprise partnership with Anthropic in May 2026, deploying Claude firm-wide across all segments for risk analysis, client information synthesis, and tailored insurance solutions, with measurable improvements already demonstrated in pilot deployments [2]. Market Share (1/2): Baldwin is a meaningful national insurance distributor approaching $2B in annualized revenue, but remains far smaller than Marsh McLennan, AON, or Brown &amp; Brown in the global brokerage market [1]. Pipeline (1/2): Full-year 2026 guidance of ~$2.05B revenue with a '$3B/30 Catalyst' transformation program; management expects to exit 2026 on a double-digit organic growth run rate as transitory headwinds fade [1]. R&amp;D Intensity (1/1): UCTS MGA technology platform, Anthropic AI partnership, and dedicated CTO and Chief Insurance Innovation Officer roles demonstrate above-average technology investment for an insurance distributor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Baldwin's 'powered-by-people approach' guided by 'The Azimuth' values framework aligns mission, vision, core values, and stakeholder promises — clear and intentional but ultimately interchangeable with other professional services firms [4]. Community Impact (1/2): Great Place to Work certified with Fortune Best Workplaces recognition (#34 Financial Services &amp; Insurance 2025, #76 for Women), employing 4,876 U.S.-based colleagues, but no specific charitable programs or dollar amounts for community investment disclosed [3]. Employee Retention (1/2): 90% of employees say Baldwin is a great place to work vs. 57% at typical U.S. companies per GPTW Trust Index; 92% report management is honest and ethical, 93% say colleagues care about each other [3]. However, no direct turnover or tenure data available. Insider Buying (0/2): Net insider selling of $4.6M in Q2 2026 with General Counsel selling 15,000 shares at $20.01 in May; no insider purchases reported in the past three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Baldwin's financial profile remains bifurcated — accelerating topline growth offset by persistent GAAP unprofitability. Q1 2026 revenue of $532.2M (up 29% YoY) with adjusted EBITDA of $137.2M (25.8% margin), but GAAP net loss of $1.9M and negative operating cash flow of $6.1M [1]. Long-term debt of $2.15B with $191M drawn on the revolver against $146.4M cash creates D/E of ~158%, manageable but elevated for a company still GAAP-unprofitable [1]. Forward P/E of 12.1x signals significant earnings inflection ahead, and ROE remains negative at approximately -4.7% due to ongoing GAAP losses [6]. Organic growth was only 2% in Q1 before pro-forma adjustments (~9% adjusted), and adjusted EPS of $0.63 was down 3% YoY due to integration costs [1]. Liquidity floor cleared: ~1.78M avg vol x $26.47 = $47.1M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Baldwin plays a mixed game — the acquisitive roll-up strategy creates scale but carries finite-game execution pressure. The partnership model preserving local agency cultures and the GPTW-certified employee experience suggest infinite thinking, but $2.15B in debt, 2% organic growth, and the go-private exploration signal tension between long-term platform building and short-term financial engineering.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Baldwin's 'powered-by-people' philosophy and partnership acquisition model — preserving founder cultures rather than absorbing them — represents a genuine if incomplete cause, validated by GPTW certification showing 90% of employees affirm it is a great place to work [3][4]. The approach of empowering insurance professionals rather than commoditizing them differentiates Baldwin from pure financial acquirers, but the cause hasn't been tested through crisis or leadership transition, and the go-private exploration suggests potential retreat from public accountability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Great Place to Work certification with 90% positive scores (vs 57% typical), 92% saying management is honest and ethical, and Fortune Best Workplaces ranking #34 in Financial Services provide strong evidence of organizational trust [3]. However, rapid acquisition pace (CAC, OBE, Capstone in January 2026) creates integration strain, and employee reviews note burnout from covering workloads when people leave [4]. CEO Trevor Baldwin has led since founding with consistent strategic direction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found of Baldwin's leadership acknowledging competitors' strengths or framing competition as motivation to improve. The acquisitive growth-through-consolidation strategy is inherently about accumulating market share rather than self-improvement through rivalry. The $3B/30 Catalyst program frames success in scale terms, not capability improvement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Baldwin's evolution from a small Tampa agency founded in 2011 to a $2B+ national platform through the UCTS MGA model, Anthropic AI partnership, and technology-enabled distribution shows meaningful strategic flexibility [1][2]. The transformation from BRP Group to Baldwin Insurance Group and the expansion into underwriting and technology capabilities represent real business model evolution, though incremental rather than transformative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pursue $2.15B in debt-funded acquisitions while still GAAP-unprofitable, combined with the bold Anthropic AI partnership commitment, shows willingness to sacrifice near-term earnings for long-term platform scale [1][2]. Management's confidence in exiting 2026 at double-digit organic growth despite current 2% organic performance demonstrates conviction. However, the go-private exploration could reflect an escape from accountability rather than courage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Baldwin Insurance Group is a high-growth insurance distributor executing an aggressive roll-up strategy with Q1 2026 revenue of $532.2M (up 29% YoY) and full-year guidance of ~$2.05B, driven by the January 2026 closure of CAC Group, OBE, and Capstone partnerships [1]. Integration is running ahead of schedule with $34M of $43M three-year synergies already actioned, and the May 2026 Anthropic AI partnership positions Baldwin as a technology-forward distributor deploying Claude firm-wide for measurable productivity gains [2]. Forward P/E of 12.1x on expected earnings inflection, combined with the '$3B/30 Catalyst' transformation program, signals significant upside if organic growth accelerates to management's double-digit exit-rate target [1].</w:t>
      </w:r>
    </w:p>
    <w:p>
      <w:pPr>
        <w:spacing w:after="120"/>
      </w:pPr>
      <w:r>
        <w:rPr>
          <w:rFonts w:ascii="Calibri" w:hAnsi="Calibri"/>
          <w:b w:val="0"/>
          <w:color w:val="3A4A28"/>
          <w:sz w:val="20"/>
        </w:rPr>
        <w:t>The bear case centers on execution risk, financial fragility, and governance concerns. GAAP net loss persists at -$1.9M in Q1 2026 with negative operating cash flow of $6.1M, revealing that adjusted metrics mask real integration costs [1]. D/E of ~158% with $2.15B long-term debt creates refinancing risk, and organic growth of only 2% (9% pro-forma adjusted) suggests the core business grows modestly without acquisitions. Net insider selling of $4.6M in Q2 2026 with zero insider purchases undermines management conviction at current prices [5]. The go-private discussions reported in June 2026, while potentially value-unlocking, also suggest the controlling shareholders (70%+ voting power via Class B) may exploit the dual-class structure to take the company private at a discount to intrinsic value [5]. AI disintermediation risk for the Mainstreet segment remains real as AI-driven direct-to-consumer insurance platforms expand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CAC Group integration running ahead of schedule with $34M of $43M three-year synergy target already actioned, with remaining $9M expected to flow through in 2026-2027 [1]</w:t>
      </w:r>
    </w:p>
    <w:p>
      <w:pPr>
        <w:spacing w:before="40" w:after="40"/>
        <w:ind w:left="283"/>
      </w:pPr>
      <w:r>
        <w:rPr>
          <w:rFonts w:ascii="Calibri" w:hAnsi="Calibri"/>
          <w:b/>
          <w:color w:val="4A6B25"/>
          <w:sz w:val="20"/>
        </w:rPr>
        <w:t xml:space="preserve">2. </w:t>
      </w:r>
      <w:r>
        <w:rPr>
          <w:rFonts w:ascii="Calibri" w:hAnsi="Calibri"/>
          <w:b w:val="0"/>
          <w:color w:val="3A4A28"/>
          <w:sz w:val="20"/>
        </w:rPr>
        <w:t>Anthropic AI enterprise partnership deploying Claude firm-wide, with pilot deployments already showing measurable improvements in advisor productivity and client-facing insight quality [2]</w:t>
      </w:r>
    </w:p>
    <w:p>
      <w:pPr>
        <w:spacing w:before="40" w:after="40"/>
        <w:ind w:left="283"/>
      </w:pPr>
      <w:r>
        <w:rPr>
          <w:rFonts w:ascii="Calibri" w:hAnsi="Calibri"/>
          <w:b/>
          <w:color w:val="4A6B25"/>
          <w:sz w:val="20"/>
        </w:rPr>
        <w:t xml:space="preserve">3. </w:t>
      </w:r>
      <w:r>
        <w:rPr>
          <w:rFonts w:ascii="Calibri" w:hAnsi="Calibri"/>
          <w:b w:val="0"/>
          <w:color w:val="3A4A28"/>
          <w:sz w:val="20"/>
        </w:rPr>
        <w:t>Go-private discussions reported June 2026 could unlock significant value if a take-private occurs at a premium to the current $3.8B market cap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debt load of $2.15B long-term debt (D/E ~158%) with negative operating cash flow creates refinancing risk and limits financial flexibility if integration falters or rates remain elevated [1]</w:t>
      </w:r>
    </w:p>
    <w:p>
      <w:pPr>
        <w:spacing w:before="40" w:after="40"/>
        <w:ind w:left="283"/>
      </w:pPr>
      <w:r>
        <w:rPr>
          <w:rFonts w:ascii="Calibri" w:hAnsi="Calibri"/>
          <w:b/>
          <w:color w:val="4A6B25"/>
          <w:sz w:val="20"/>
        </w:rPr>
        <w:t xml:space="preserve">2. </w:t>
      </w:r>
      <w:r>
        <w:rPr>
          <w:rFonts w:ascii="Calibri" w:hAnsi="Calibri"/>
          <w:b w:val="0"/>
          <w:color w:val="3A4A28"/>
          <w:sz w:val="20"/>
        </w:rPr>
        <w:t>Organic revenue growth of only 2% in Q1 2026 (9% pro-forma adjusted) — acquisition-dependent revenue growth breaks down if deal flow slows or synergies disappoint [1]</w:t>
      </w:r>
    </w:p>
    <w:p>
      <w:pPr>
        <w:spacing w:before="40" w:after="40"/>
        <w:ind w:left="283"/>
      </w:pPr>
      <w:r>
        <w:rPr>
          <w:rFonts w:ascii="Calibri" w:hAnsi="Calibri"/>
          <w:b/>
          <w:color w:val="4A6B25"/>
          <w:sz w:val="20"/>
        </w:rPr>
        <w:t xml:space="preserve">3. </w:t>
      </w:r>
      <w:r>
        <w:rPr>
          <w:rFonts w:ascii="Calibri" w:hAnsi="Calibri"/>
          <w:b w:val="0"/>
          <w:color w:val="3A4A28"/>
          <w:sz w:val="20"/>
        </w:rPr>
        <w:t>Go-private risk — dual-class structure concentrates 70%+ voting power with founders, who could execute a take-private at a price disadvantageous to minority Class A shareholders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Insurance brokerage faces moderate but manageable AI disruption risk. CEO Trevor Baldwin stated AI will have 'profound impact on how work is done inside brokerage firms' through cycle time compression but 'will not replace people,' emphasizing 'the human factor — that trust really matters' [2]. Complex commercial risk advisory, high-net-worth private risk, and employee benefits consulting in the IAS segment require relationship-based expertise that AI cannot replicate. However, the Mainstreet segment's simpler personal lines face real AI disintermediation risk from platforms like Munich Re's Next Insurance offering AI-driven direct policy binding [4]. AI Opportunity (1/1): The May 2026 Anthropic enterprise partnership deploys Claude firm-wide with measurable productivity improvements in risk analysis, client synthesis, and workflow automation already demonstrated in pilots — representing concrete AI-driven operational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Baldwin Group Q1 2026 Earnings Release — $532.2M revenue (up 29% YoY), adjusted EBITDA $137.2M, $34M synergies actioned, 2% organic growth, May 2026</w:t>
      </w:r>
    </w:p>
    <w:p>
      <w:pPr>
        <w:spacing w:before="20" w:after="20"/>
        <w:ind w:left="170"/>
      </w:pPr>
      <w:r>
        <w:rPr>
          <w:rFonts w:ascii="Calibri" w:hAnsi="Calibri"/>
          <w:b/>
          <w:color w:val="4A6B25"/>
          <w:sz w:val="15"/>
        </w:rPr>
        <w:t xml:space="preserve">2. </w:t>
      </w:r>
      <w:r>
        <w:rPr>
          <w:rFonts w:ascii="Calibri" w:hAnsi="Calibri"/>
          <w:b w:val="0"/>
          <w:color w:val="3A4A28"/>
          <w:sz w:val="17"/>
        </w:rPr>
        <w:t>Baldwin Group Expanded Anthropic Enterprise Partnership — firm-wide Claude deployment for risk analysis, client synthesis, and workflow automation, May 2026</w:t>
      </w:r>
    </w:p>
    <w:p>
      <w:pPr>
        <w:spacing w:before="20" w:after="20"/>
        <w:ind w:left="170"/>
      </w:pPr>
      <w:r>
        <w:rPr>
          <w:rFonts w:ascii="Calibri" w:hAnsi="Calibri"/>
          <w:b/>
          <w:color w:val="4A6B25"/>
          <w:sz w:val="15"/>
        </w:rPr>
        <w:t xml:space="preserve">3. </w:t>
      </w:r>
      <w:r>
        <w:rPr>
          <w:rFonts w:ascii="Calibri" w:hAnsi="Calibri"/>
          <w:b w:val="0"/>
          <w:color w:val="3A4A28"/>
          <w:sz w:val="17"/>
        </w:rPr>
        <w:t>Great Place to Work Certification — 90% employee satisfaction (vs 57% typical), Fortune Best Workplaces #34 Financial Services 2025, #76 for Women</w:t>
      </w:r>
    </w:p>
    <w:p>
      <w:pPr>
        <w:spacing w:before="20" w:after="20"/>
        <w:ind w:left="170"/>
      </w:pPr>
      <w:r>
        <w:rPr>
          <w:rFonts w:ascii="Calibri" w:hAnsi="Calibri"/>
          <w:b/>
          <w:color w:val="4A6B25"/>
          <w:sz w:val="15"/>
        </w:rPr>
        <w:t xml:space="preserve">4. </w:t>
      </w:r>
      <w:r>
        <w:rPr>
          <w:rFonts w:ascii="Calibri" w:hAnsi="Calibri"/>
          <w:b w:val="0"/>
          <w:color w:val="3A4A28"/>
          <w:sz w:val="17"/>
        </w:rPr>
        <w:t>Baldwin Group corporate website, Glassdoor reviews (3.6/5.0, 354 reviews), AI strategy and The Azimuth values framework,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Baldwin Insurance insider activity — $4.6M net selling Q2 2026, General Counsel sold 15K shares; go-private discussions reported June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financial data for BWIN (Baldwin Insurance Group),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