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CBSH</w:t>
      </w:r>
      <w:r>
        <w:rPr>
          <w:rFonts w:ascii="Calibri" w:hAnsi="Calibri"/>
          <w:b/>
          <w:color w:val="1A2010"/>
          <w:sz w:val="40"/>
        </w:rPr>
        <w:t xml:space="preserve">  Commerce Bancshares, Inc.</w:t>
      </w:r>
    </w:p>
    <w:p>
      <w:pPr>
        <w:spacing w:after="120"/>
      </w:pPr>
      <w:r>
        <w:rPr>
          <w:rFonts w:ascii="Calibri" w:hAnsi="Calibri"/>
          <w:b/>
          <w:color w:val="6E8450"/>
          <w:sz w:val="18"/>
        </w:rPr>
        <w:t>GROWTH SLEEVE · 2026-08-02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Commerce Bancshares is the bank holding company for Commerce Bank, providing retail, mortgage banking, corporate, investment, trust, and asset management products and services. Operating through Retail Banking, Commercial, and Wealth segments, the company serves individuals and businesses primarily across Missouri, Kansas, Illinois, Oklahoma, and Colorado. Founded in 1865, Commerce Bank has operated for over 160 years with 57 consecutive years of dividend increases — among the longest streaks in the banking industry.</w:t>
      </w:r>
    </w:p>
    <w:p>
      <w:r>
        <w:rPr>
          <w:rFonts w:ascii="Calibri" w:hAnsi="Calibri"/>
          <w:b/>
          <w:color w:val="6E8450"/>
          <w:sz w:val="18"/>
        </w:rPr>
        <w:t>4,693 Employees · https://www.commercebank.com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Commerce Bancshares has delivered steady conservative growth without transformative product launches or business model pivots. The FineMark National Banker acquisition in FY2025 expanded wealth management and geographic reach, and Q2 2026 revenue of $501.3M grew 11.9% YoY partly driven by this acquisition [1]. The company has executed well as a traditional regional bank but has not launched category-defining products. AI Deployment (1/2): Commerce Bank has invested in digital transformation through a dedicated Enterprise Digital Strategy team led by SVP Derrick Brooks, encompassing digital marketing, innovation, and user experience across retail, wealth, and commercial lines [2]. However, no specific AI-powered products shipping to customers or quantified AI-driven cost savings have been publicly reported. Market Share (1/2): Commerce Bank holds meaningful market share in its core Midwest markets (Missouri, Kansas, Illinois, Oklahoma, Colorado) with a high-quality deposit franchise and $4.12B in cash, but is a mid-sized regional bank without national scale [1][4]. Product Pipeline (0/2): No significant next-generation product launches with specific timelines or revenue visibility have been announced beyond standard digital banking enhancements. R&amp;D Intensity (1/1): The bank invests in technology and digital capabilities with dedicated innovation leadership positions, reflecting above-average commitment for a regional bank of this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John Kemper emphasizes 'sound strategy and disciplined execution' and running an 'all-weather business,' reflecting thoughtful intentionality about the bank's role in its communities [1]. Commerce Bank values integrity, stating their 'first duty is to conduct business in ways that merit trust and confidence.' This reflects genuine operating principles but is not distinctively aspirational beyond strong regional bank norms. Community Impact (2/2): Commerce Bank has operated for over 160 years in its Midwest communities, representing deep multi-generational institutional commitment that transcends typical corporate philanthropy. The Kemper family's long involvement demonstrates genuine local stewardship, and the bank's trust, wealth, and retail banking services are fundamentally community-focused [2]. Employee Retention (1/2): The Kemper family leadership continuity — David Kemper as Executive Chairman and John Kemper as CEO since 2018 — reflects exceptional organizational stability and internal succession. Kemper joined in 2007 from McKinsey, rising through multiple leadership roles before becoming CEO [2]. However, specific employee retention or turnover data is not publicly available. Insider Buying (1/2): The Kemper family holds significant equity positions across generations, aligning leadership interests with long-term shareholders. This multi-generational ownership demonstrates deep personal conviction in the institution's future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(dividend yield of 1.86% is below the 2% threshold for Dividend classification despite 57 consecutive years of increases). D/E excluded as not applicable for bank holding companies [4]. ROE of 14.7% is just below the 15% target, scoring 0.979 at 2x Growth weight [4]. Revenue growth YoY of 11.9% exceeds the 10% target, scoring 1.0, driven by FineMark acquisition contribution and organic NII expansion [1]. Revenue 5yr CAGR of ~7% scores 0.80 at 2x weight. Forward P/E of 13.5x is well below the 20 target, scoring 1.0 [4]. Profit margin of 31.6% significantly exceeds the 20% target, scoring 1.0 — reflecting Commerce Bank's disciplined expense management and fee revenue diversification [1]. PEG of 2.14 scores 0.43 at 2x weight, reflecting the market's modest EPS growth expectations (Q2 EPS of $1.10 was barely up from $1.09 despite 11.9% revenue growth due to share dilution) [4]. Liquidity floor cleared: 1.24M avg volume x $59.27 = $73.3M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Commerce Bancshares exemplifies endurance-oriented banking through its 160+ year operating history, multi-generational Kemper family leadership, and conservative 'all-weather business' philosophy validated through the Great Depression, 2008 crisis, and COVID. The 57-year dividend growth streak is among the longest in the industry. However, the bank lacks the bold strategic pivots and transformative cause that characterize the strongest infinite game players — institutional conservatism is both its strength and its limitation in Sinek's framework.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Commerce Bank's cause — being an enduring financial institution that serves Midwest communities across generations — has been validated by over 160 years of continuous operation, surviving the Civil War, Great Depression, multiple banking crises, and 2008 financial crisis without cutting its dividend [1]. The Kemper family's multi-generational involvement demonstrates purpose that transcends any single leader. CEO Kemper's 'all-weather business' language reflects genuine endurance thinking. However, the cause is about institutional preservation and community service rather than a transformative vision of a better future — admirable but not Sinek's ideal of a Just Cause that is 'so bold it can never be fully achieved.'</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Commerce Bank demonstrates exceptional organizational trust through its multi-generational Kemper family leadership — David Kemper as Executive Chairman and John Kemper as CEO (since 2018, having joined in 2007) — reflecting institutional continuity rarely seen in banking [2]. The 2025 AGM saw 91% say-on-pay approval, indicating broad shareholder-management alignment. CEO Kemper's career progression from McKinsey consultant through multiple internal roles before becoming CEO demonstrates an organization that develops and trusts its talent. The bank's 160+ year survival through multiple crises demonstrates a deeply resilient culture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Commerce Bank competes alongside larger national banks (JPMorgan, Bank of America) and regional peers without framing competition in destructive terms. CEO Kemper's 'all-weather business' language focuses on the bank's own resilience and discipline rather than defeating competitors [1]. The FineMark acquisition demonstrated willingness to partner with and integrate another well-run institution. The competitive approach emphasizes differentiation through quality service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Commerce Bank has operated essentially the same community banking business model for over 160 years. While the FineMark acquisition expands geographic reach and the digital strategy team reflects adaptation to technology, these are incremental evolutions rather than transformative reinventions [1]. The bank has never abandoned a profitable business line or made a dramatic strategic pivot. In Sinek's framework, this reflects institutional conservatism — the antithesis of existential flexibility, even if it has produced excellent long-term results.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Commerce Bancshares has demonstrated courage through its commitment to conservative credit underwriting when peers pursued aggressive growth strategies, maintaining its dividend through periods when other regional banks cut theirs, and the FineMark acquisition expanding into new markets while preserving its conservative philosophy [1]. The 57-year unbroken dividend growth streak through multiple recessions required disciplined capital allocation. However, these are measured, incremental decisions rather than the costly transformative bets that Sinek's framework rewards most highly.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Commerce Bancshares delivered strong Q2 2026 results — $501.3M revenue (up 11.9% YoY), $159.8M net income (up 4.8%), and net interest margin expanding to 3.77% with fee revenue growing $8M driven by trust, bank card, and deposit businesses [1]. At 13.5x forward earnings with 31.6% profit margin, 14.7% ROE, ROA of 1.84%, and $4.12B cash against $2.45B debt, CBSH is among the most conservatively managed regional banks in the country [4]. The crown jewel is the 57-year consecutive dividend growth streak — extended with a 7% boost — reflecting extraordinary capital allocation discipline across multiple economic cycles. The Kemper family's multi-generational ownership and the 160+ year operating history provide institutional stability that is genuinely rare in banking.</w:t>
      </w:r>
    </w:p>
    <w:p>
      <w:pPr>
        <w:spacing w:after="120"/>
      </w:pPr>
      <w:r>
        <w:rPr>
          <w:rFonts w:ascii="Calibri" w:hAnsi="Calibri"/>
          <w:b w:val="0"/>
          <w:color w:val="3A4A28"/>
          <w:sz w:val="20"/>
        </w:rPr>
        <w:t>The bear case centers on limited growth potential and the structural challenges facing mid-size regional banks. Q2 EPS of $1.10 was barely up from $1.09 despite 11.9% revenue growth, suggesting share dilution from the FineMark acquisition is absorbing revenue gains [1]. PEG of 2.14 reflects the market's view that EPS growth is fundamentally constrained — 3-year EPS growth forecast of only 4.8% caps upside potential [4]. The dividend yield of 1.86% has fallen below 2% due to stock price appreciation, offering modest income for a bank with 57 years of dividend growth. Regional banks face secular pressure from AI-enabled fintech competitors and digital banking platforms that threaten retail customer relationships — McKinsey warns that 'gen AI agents threaten retail banks' customer relationships.' Commerce Bank's moderate scale ($8.5B market cap) limits its ability to invest in AI defenses at the pace of money-center banks. The stock's 52-week return of only 1.64% reflects the market's view of CBSH as a stable hold rather than a growth story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FineMark acquisition integration driving 11.9% revenue growth with continued expansion of wealth management and trust capabilities in new geographic markets [1]</w:t>
      </w:r>
    </w:p>
    <w:p>
      <w:pPr>
        <w:spacing w:before="40" w:after="40"/>
        <w:ind w:left="283"/>
      </w:pPr>
      <w:r>
        <w:rPr>
          <w:rFonts w:ascii="Calibri" w:hAnsi="Calibri"/>
          <w:b/>
          <w:color w:val="4A6B25"/>
          <w:sz w:val="20"/>
        </w:rPr>
        <w:t xml:space="preserve">2. </w:t>
      </w:r>
      <w:r>
        <w:rPr>
          <w:rFonts w:ascii="Calibri" w:hAnsi="Calibri"/>
          <w:b w:val="0"/>
          <w:color w:val="3A4A28"/>
          <w:sz w:val="20"/>
        </w:rPr>
        <w:t>Net interest margin expansion to 3.77% in Q2 2026 with fee revenue diversification across trust, bank card, and deposit services providing multiple earnings growth vectors [1]</w:t>
      </w:r>
    </w:p>
    <w:p>
      <w:pPr>
        <w:spacing w:before="40" w:after="40"/>
        <w:ind w:left="283"/>
      </w:pPr>
      <w:r>
        <w:rPr>
          <w:rFonts w:ascii="Calibri" w:hAnsi="Calibri"/>
          <w:b/>
          <w:color w:val="4A6B25"/>
          <w:sz w:val="20"/>
        </w:rPr>
        <w:t xml:space="preserve">3. </w:t>
      </w:r>
      <w:r>
        <w:rPr>
          <w:rFonts w:ascii="Calibri" w:hAnsi="Calibri"/>
          <w:b w:val="0"/>
          <w:color w:val="3A4A28"/>
          <w:sz w:val="20"/>
        </w:rPr>
        <w:t>57th consecutive year of dividend growth with conservative 26.7% payout ratio providing ample room for continued increases and share buyback programs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Anemic EPS growth — Q2 EPS of $1.10 vs. $1.09 despite 11.9% revenue growth suggests FineMark acquisition dilution and integration costs are absorbing revenue gains, with 3-year EPS growth forecast of only 4.8% [1][4]</w:t>
      </w:r>
    </w:p>
    <w:p>
      <w:pPr>
        <w:spacing w:before="40" w:after="40"/>
        <w:ind w:left="283"/>
      </w:pPr>
      <w:r>
        <w:rPr>
          <w:rFonts w:ascii="Calibri" w:hAnsi="Calibri"/>
          <w:b/>
          <w:color w:val="4A6B25"/>
          <w:sz w:val="20"/>
        </w:rPr>
        <w:t xml:space="preserve">2. </w:t>
      </w:r>
      <w:r>
        <w:rPr>
          <w:rFonts w:ascii="Calibri" w:hAnsi="Calibri"/>
          <w:b w:val="0"/>
          <w:color w:val="3A4A28"/>
          <w:sz w:val="20"/>
        </w:rPr>
        <w:t>AI-enabled fintech disruption — McKinsey warns gen AI agents threaten retail banking relationships, and Commerce Bank's mid-size scale limits its ability to invest in AI defenses at the pace of JPMorgan or Bank of America [2]</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 NIM of 3.77% has benefited from favorable rate positioning, but a rapid rate decline could compress margins while credit quality may deteriorate in a Midwest economic downturn affecting commercial borrowers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Commerce Bank's core business — relationship-based community banking, commercial lending, wealth management, and trust services — has meaningful protection from AI disruption. The Midwest community banking model relies on local relationships, physical branch networks, regulatory barriers (FDIC, OCC, Fed), and decades of credit underwriting expertise that AI cannot easily replicate [2]. Trust and wealth management services involve fiduciary relationships with high switching costs. However, McKinsey warns that 'gen AI agents threaten retail banks' customer relationships,' and retail banking functions face growing pressure from AI-powered fintech competitors offering digital lending, robo-advisory, and personalized services at scale. Commerce Bank's moderate size ($8.5B market cap) limits its ability to invest in AI at the pace of larger national banks [2]. AI Opportunity (0/1): Commerce Bank does not generate meaningful revenue from AI products. While the bank invests in digital transformation through SVP Brooks' Enterprise Digital Strategy team, no specific AI-driven revenue or quantified efficiency gains have been publicly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Commerce Bancshares Q2 2026 Results — $501.3M revenue (+11.9% YoY), $159.8M net income (+4.8%), EPS $1.10, NIM 3.77%, ROA 1.84%, fee revenue +$8M; SEC 8-K / Minichart /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Commerce Bancshares Leadership and Culture — CEO John Kemper (since 2018), SVP Derrick Brooks (Digital Strategy), Kemper family multi-generational ownership, 160+ year history; commercebank.com / Comparably,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Commerce Bancshares ESG and Industry Context — no significant controversies, McKinsey warning on AI agents threatening retail banks;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CBSH key statistics: $59.27 price, 13.48x fwd PE, 14.69% ROE, 31.64% profit margin, 1.86% yield, 57 consecutive dividend growth years, 1.24M avg volume;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