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CCHH</w:t>
      </w:r>
      <w:r>
        <w:rPr>
          <w:rFonts w:ascii="Calibri" w:hAnsi="Calibri"/>
          <w:b/>
          <w:color w:val="1A2010"/>
          <w:sz w:val="40"/>
        </w:rPr>
        <w:t xml:space="preserve">  CCH Holdings Ltd</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Malaysia</w:t>
      </w:r>
    </w:p>
    <w:p>
      <w:pPr>
        <w:spacing w:after="80"/>
      </w:pPr>
      <w:r>
        <w:rPr>
          <w:rFonts w:ascii="Calibri" w:hAnsi="Calibri"/>
          <w:b w:val="0"/>
          <w:color w:val="3A4A28"/>
          <w:sz w:val="20"/>
        </w:rPr>
        <w:t>CCH Holdings Ltd operates specialty hotpot restaurant chains in Malaysia under the Chicken Claypot House and Zi Wei Yuan brands. In July 2026, the company executed a 1-for-10 reverse stock split to regain Nasdaq minimum bid price compliance, and announced a pivotal $50M three-year data center maintenance contract in Malaysia. Also operates or licenses outlets under 888 Family Food Court, Bibixian, Banbudian Bistro, and Chao Liu Xian Hotpot brands. Founded in 2015 in Bukit Mertajam, Malaysia, IPO'd on Nasdaq in October 2025, with approximately 30 outlets and a market cap of $3 million.</w:t>
      </w:r>
    </w:p>
    <w:p>
      <w:r>
        <w:rPr>
          <w:rFonts w:ascii="Calibri" w:hAnsi="Calibri"/>
          <w:b/>
          <w:color w:val="6E8450"/>
          <w:sz w:val="18"/>
        </w:rPr>
        <w:t>207 Employees · https://www.chickenclaypothouse.com.my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CCH Holdings remains fundamentally a small Malaysian hotpot chain with no meaningful product innovation or successful business transformation in five years of operation [1]. The Nasdaq IPO in October 2025 was a capital market event, and the stock has lost 99%+ from its post-split-adjusted IPO high of $153.90 to $1.39. The July 2026 $50M data center maintenance contract represents a dramatic but entirely unproven diversification into an unrelated industry [2]. AI Deployment (0/2): No evidence of AI deployment in restaurant operations or the newly announced data center maintenance business — the company provides facility maintenance services, not AI technology [2]. Market Share (1/2): Chicken Claypot House remains the largest chicken hotpot brand in Malaysia by outlet count with approximately 30 outlets across multiple brands, representing meaningful local market presence in a niche category [1]. Product Pipeline (0/2): Plans to open a New York City Chicken Claypot House restaurant in midtown Manhattan and acquire Malaysian restaurant chains remain aspirational given the company's $3M market cap [1]. The $50M data center contract could transform revenue if executed but has no track record. R&amp;D Intensity (0/1): Restaurant chain with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CCH Holdings operates without an articulated mission beyond serving Malaysian hotpot cuisine and, now, maintaining data centers — no purpose statement connects these disparate businesses to a larger social vision [1]. Community Impact (0/2): No evidence of charitable programs or community investment beyond providing employment and dining services in Malaysian communities. Employee Retention (0/2): No retention or culture data available for a 207-person Malaysian restaurant workforce experiencing CEO transition and strategic upheaval. Insider Buying (0/2): No evidence of insider buying; founding CEO Goh Kok Foong stepped down in March 2026, replaced by relative Goh Kok E, and the stock has lost 99%+ from IPO with no visible insider purchases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Post-reverse-split average daily volume of 46,788 shares at $1.39 = $65,035 daily dollar volume, far below the $1M liquidity floor [4]. Infrastructure is automatically scored 0/10 regardless of other metrics. The 1-for-10 reverse stock split on July 13, 2026 reduced shares from ~48.2M to ~4.8M (of which 2.2M are public Class A shares) and regained Nasdaq bid price compliance on July 27, 2026 [3]. However, the reverse split did not improve liquidity — it concentrated the same thin trading interest into fewer shares. The underlying financials remain distressed: TTM revenue of $9.59M (+7.6% YoY) with a net loss of -$2.68M (-28% margin), market cap of $3.05M, and an announced $50M data center contract that has not yet contributed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CCH Holdings is a micro-cap Malaysian restaurant chain in severe distress — the stock has lost 99%+ from its IPO high, the founding CEO departed after 5 months, a 1-for-10 reverse split was required to maintain Nasdaq listing, and the company is pivoting from hotpot restaurants to data center maintenance with a $3M market cap and 207 employees. The $50M data center contract and NYC expansion plans represent desperate diversification plays from a company in survival mode, not infinite-game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CCH Holdings exists to operate Malaysian hotpot restaurants and, since July 2026, provide data center maintenance — two entirely unrelated businesses with no unifying purpose [1][2]. There is no articulated vision of a better future, and the pivot from chicken hotpot to tech infrastructure services suggests the company is chasing whatever revenue opportunity presents itself rather than pursuing a Just Cause. Sinek would see this as a company that does not know why it exists.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Founding CEO Goh Kok Foong departed in March 2026 — five months after the Nasdaq IPO — replaced by relative Goh Kok E alongside Co-CEO Mhlengi Prevail Mafu [3]. The stock's 99%+ decline, Nasdaq non-compliance scare, reverse stock split, and pivot into data centers create extreme organizational instability where trust is secondary to survival. The $3M market cap constrains the company's ability to invest in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CCH Holdings' leadership references competitors' strengths or uses competitive pressure for self-improvement [1]. The company competes against Haidilao and other established hotpot chains with vastly greater resources in restaurants, and now against established data center service providers in an entirely new industry.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hotpot restaurants to data center maintenance via a $50M three-year contract represents one of the most dramatic business model diversifications conceivable — a Penang chicken restaurant chain entering technology infrastructure services [2]. This shows extreme adaptability, and the willingness to pursue entirely new revenue streams. However, Sinek would view this as desperation-driven flexibility rather than purpose-driven reinvention — the pivot is not connected to any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reverse stock split, data center pivot, and NYC expansion plans require some audacity from a $3M market cap company, but these are survival tactics rather than courageous long-term bets [3]. No evidence of leadership making costly principled decisions or sacrificing near-term results for long-term capability. The founding CEO's departure after 5 months undermines leadership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CCH Holdings' $50M three-year data center maintenance contract, announced July 2026, could transform the company's financial profile — representing over 5x current annual revenue of $9.59M if executed on schedule [2]. At a $3M market cap, any successful execution on data center services, the planned NYC Chicken Claypot House restaurant, or Malaysian restaurant acquisitions could generate outsized percentage returns from this micro-cap base. The company regained Nasdaq compliance via a 1-for-10 reverse split on July 13, 2026, removing the immediate delisting overhang [3]. Revenue grew 7.6% YoY to $9.59M, and the restaurant brand remains the largest chicken hotpot chain in Malaysia by outlet count.</w:t>
      </w:r>
    </w:p>
    <w:p>
      <w:pPr>
        <w:spacing w:after="120"/>
      </w:pPr>
      <w:r>
        <w:rPr>
          <w:rFonts w:ascii="Calibri" w:hAnsi="Calibri"/>
          <w:b w:val="0"/>
          <w:color w:val="3A4A28"/>
          <w:sz w:val="20"/>
        </w:rPr>
        <w:t>The bear case is overwhelming and existential. At a $3M market cap with 2.2M public shares and average daily volume of only 46,788 shares ($65K daily dollar volume), CCHH is effectively uninvestable for any institutional investor [4]. The stock has lost 99%+ from its post-split-adjusted IPO high of $153.90 to $1.39. The founding CEO departed after 5 months as a public company, replaced by a relative and a co-CEO with no established track record. TTM net loss of $2.68M (-28% margin) on $9.59M revenue shows the core restaurant business is unprofitable. The $50M data center contract — involving a hotpot restaurant chain providing data center maintenance — stretches credibility and has no track record of execution; NDA-protected client details prevent investor due diligence [2]. Plans to expand to NYC and Africa with a $3M market cap are delusional. The 1-for-10 reverse split solved the bid price issue but did nothing to improve the underlying business quality or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$50M data center maintenance contract could generate $16.7M annual revenue if recognized evenly over 3 years, more than doubling current restaurant revenue and transforming the financial profile [2]</w:t>
      </w:r>
    </w:p>
    <w:p>
      <w:pPr>
        <w:spacing w:before="40" w:after="40"/>
        <w:ind w:left="283"/>
      </w:pPr>
      <w:r>
        <w:rPr>
          <w:rFonts w:ascii="Calibri" w:hAnsi="Calibri"/>
          <w:b/>
          <w:color w:val="4A6B25"/>
          <w:sz w:val="20"/>
        </w:rPr>
        <w:t xml:space="preserve">2. </w:t>
      </w:r>
      <w:r>
        <w:rPr>
          <w:rFonts w:ascii="Calibri" w:hAnsi="Calibri"/>
          <w:b w:val="0"/>
          <w:color w:val="3A4A28"/>
          <w:sz w:val="20"/>
        </w:rPr>
        <w:t>NYC Chicken Claypot House opening in midtown Manhattan could validate international expansion potential and drive investor interest in the brand's global scalability [1]</w:t>
      </w:r>
    </w:p>
    <w:p>
      <w:pPr>
        <w:spacing w:before="40" w:after="40"/>
        <w:ind w:left="283"/>
      </w:pPr>
      <w:r>
        <w:rPr>
          <w:rFonts w:ascii="Calibri" w:hAnsi="Calibri"/>
          <w:b/>
          <w:color w:val="4A6B25"/>
          <w:sz w:val="20"/>
        </w:rPr>
        <w:t xml:space="preserve">3. </w:t>
      </w:r>
      <w:r>
        <w:rPr>
          <w:rFonts w:ascii="Calibri" w:hAnsi="Calibri"/>
          <w:b w:val="0"/>
          <w:color w:val="3A4A28"/>
          <w:sz w:val="20"/>
        </w:rPr>
        <w:t>Successful completion of announced Malaysian restaurant chain acquisitions could accelerate revenue growth and provide operational synergies across the multi-brand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average daily volume of 46,788 shares ($65K daily dollar volume) makes meaningful position building or exit virtually impossible, and the $3M market cap eliminates institutional investability [4]</w:t>
      </w:r>
    </w:p>
    <w:p>
      <w:pPr>
        <w:spacing w:before="40" w:after="40"/>
        <w:ind w:left="283"/>
      </w:pPr>
      <w:r>
        <w:rPr>
          <w:rFonts w:ascii="Calibri" w:hAnsi="Calibri"/>
          <w:b/>
          <w:color w:val="4A6B25"/>
          <w:sz w:val="20"/>
        </w:rPr>
        <w:t xml:space="preserve">2. </w:t>
      </w:r>
      <w:r>
        <w:rPr>
          <w:rFonts w:ascii="Calibri" w:hAnsi="Calibri"/>
          <w:b w:val="0"/>
          <w:color w:val="3A4A28"/>
          <w:sz w:val="20"/>
        </w:rPr>
        <w:t>$50M data center contract credibility is untested — a hotpot restaurant chain providing technology infrastructure maintenance with NDA-protected client details is unprecedented, and failure to execute would destroy remaining investor confidence [2]</w:t>
      </w:r>
    </w:p>
    <w:p>
      <w:pPr>
        <w:spacing w:before="40" w:after="40"/>
        <w:ind w:left="283"/>
      </w:pPr>
      <w:r>
        <w:rPr>
          <w:rFonts w:ascii="Calibri" w:hAnsi="Calibri"/>
          <w:b/>
          <w:color w:val="4A6B25"/>
          <w:sz w:val="20"/>
        </w:rPr>
        <w:t xml:space="preserve">3. </w:t>
      </w:r>
      <w:r>
        <w:rPr>
          <w:rFonts w:ascii="Calibri" w:hAnsi="Calibri"/>
          <w:b w:val="0"/>
          <w:color w:val="3A4A28"/>
          <w:sz w:val="20"/>
        </w:rPr>
        <w:t>Founding CEO departure after 5 months, 99%+ stock decline from IPO, and pivot into an entirely unrelated industry (data centers) suggest governance instability and strategic incoherence that Nasdaq reverse-split compliance does not resolve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CCH Holdings' core restaurant business — operating physical hotpot restaurants where customers dine in-person — is structurally immune to AI substitution [1]. Food preparation, cooking, and the communal hotpot dining experience are inherently physical activities. The newly announced $50M data center maintenance contract positions the company adjacent to AI infrastructure, but the company provides facility maintenance services, not AI technology — making it a beneficiary of AI-driven data center buildout demand rather than a participant in AI itself [2]. AI Opportunity (0/1): Despite the data center contract's proximity to AI infrastructure, CCH Holdings generates no AI-related revenue from proprietary AI products or services — the contract is for physical maintenance and computing capacity coordination, not AI development or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CCH Holdings IPO Filing, H1 2025 Results, and Restaurant Operations — SEC 6-K Filings, Renaissance Capital, 2025-2026</w:t>
      </w:r>
    </w:p>
    <w:p>
      <w:pPr>
        <w:spacing w:before="20" w:after="20"/>
        <w:ind w:left="170"/>
      </w:pPr>
      <w:r>
        <w:rPr>
          <w:rFonts w:ascii="Calibri" w:hAnsi="Calibri"/>
          <w:b/>
          <w:color w:val="4A6B25"/>
          <w:sz w:val="15"/>
        </w:rPr>
        <w:t xml:space="preserve">2. </w:t>
      </w:r>
      <w:r>
        <w:rPr>
          <w:rFonts w:ascii="Calibri" w:hAnsi="Calibri"/>
          <w:b w:val="0"/>
          <w:color w:val="3A4A28"/>
          <w:sz w:val="17"/>
        </w:rPr>
        <w:t>CCH Holdings $50M Data Center Contract and Strategic Diversification — The Rakyat Post, Lowyat.net, GlobeNewsWire, July 2026</w:t>
      </w:r>
    </w:p>
    <w:p>
      <w:pPr>
        <w:spacing w:before="20" w:after="20"/>
        <w:ind w:left="170"/>
      </w:pPr>
      <w:r>
        <w:rPr>
          <w:rFonts w:ascii="Calibri" w:hAnsi="Calibri"/>
          <w:b/>
          <w:color w:val="4A6B25"/>
          <w:sz w:val="15"/>
        </w:rPr>
        <w:t xml:space="preserve">3. </w:t>
      </w:r>
      <w:r>
        <w:rPr>
          <w:rFonts w:ascii="Calibri" w:hAnsi="Calibri"/>
          <w:b w:val="0"/>
          <w:color w:val="3A4A28"/>
          <w:sz w:val="17"/>
        </w:rPr>
        <w:t>CCH Holdings Nasdaq Compliance, Leadership Changes, and 1-for-10 Reverse Split — GuruFocus, Yahoo Finance, SEC Filings, February-July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CCHH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