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CCL</w:t>
      </w:r>
      <w:r>
        <w:rPr>
          <w:rFonts w:ascii="Calibri" w:hAnsi="Calibri"/>
          <w:b/>
          <w:color w:val="1A2010"/>
          <w:sz w:val="40"/>
        </w:rPr>
        <w:t xml:space="preserve">  Carnival Corporation &amp; plc</w:t>
      </w:r>
    </w:p>
    <w:p>
      <w:pPr>
        <w:spacing w:after="120"/>
      </w:pPr>
      <w:r>
        <w:rPr>
          <w:rFonts w:ascii="Calibri" w:hAnsi="Calibri"/>
          <w:b/>
          <w:color w:val="6E8450"/>
          <w:sz w:val="18"/>
        </w:rPr>
        <w:t>GROWTH SLEEVE · 2026-08-12 · Inspire: -53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Travel Services · NYSE · United States</w:t>
      </w:r>
    </w:p>
    <w:p>
      <w:pPr>
        <w:spacing w:after="80"/>
      </w:pPr>
      <w:r>
        <w:rPr>
          <w:rFonts w:ascii="Calibri" w:hAnsi="Calibri"/>
          <w:b w:val="0"/>
          <w:color w:val="3A4A28"/>
          <w:sz w:val="20"/>
        </w:rPr>
        <w:t>Carnival Corporation &amp; plc is the world's largest cruise company, operating nine brands: Carnival Cruise Line, Princess Cruises, Holland America Line, Seabourn, Costa Cruises, AIDA Cruises, P&amp;O Cruises (UK and Australia), and Cunard. The company operates over 90 ships serving approximately 14 million guests annually. Carnival delivered record Q2 2026 revenue of $6.7B with record adjusted net income of $569M (up 20%+ YoY), and launched the PROPEL 2029 framework targeting 50%+ EPS growth and $14B in shareholder distributions by 2029. Market cap approximately $38.0 billion.</w:t>
      </w:r>
    </w:p>
    <w:p>
      <w:r>
        <w:rPr>
          <w:rFonts w:ascii="Calibri" w:hAnsi="Calibri"/>
          <w:b/>
          <w:color w:val="6E8450"/>
          <w:sz w:val="18"/>
        </w:rPr>
        <w:t>160,000 Employees · https://www.carnivalcorp.com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Carnival's post-pandemic operational recovery has been exceptional — delivering record revenue of $6.7B in Q2 2026 (up 5.3% YoY), record bookings reaching historic highs for 2026 and 2027, and record adjusted net income of $569M [1]. The PROPEL 2029 framework targets ROIC above 16% and 50%+ EPS growth. However, the core business model of ocean cruise vacations has not fundamentally evolved — new ship orders, destination development, and guest experience enhancements are meaningful but incremental rather than transformative. AI Deployment (0/2): Carnival has piloted over 100 generative AI projects but only six were in full production as of late 2025. No specific AI-driven revenue gains or quantified cost savings have been disclosed publicly. The OceanMedallion wearable uses AI for personalization but no measurable revenue attribution has been reported [2]. Market Share (2/2): Carnival is the world's largest cruise operator by a wide margin, operating 90+ ships across nine brands spanning mass market through ultra-luxury, serving approximately 14 million guests annually [1]. The PROPEL framework projects continued yield growth while maintaining dominant global market share. Product Pipeline (1/2): Three new Princess Cruises vessels on order with specific delivery timelines, Asia market recovery as incremental revenue opportunity, and PROPEL framework through 2029, but no named new-product innovation beyond fleet additions [1]. R&amp;D Intensity (0/1): Cruise lines have minimal R&amp;D spending relative to revenue — capital investment is primarily in ship construction and destination development. Below industry average for technology investment.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Carnival's purpose centers on delivering 'unforgettable happiness' to guests and creating meaningful vacation experiences across nine global brands. This is a genuine hospitality mission resonating with 14+ million annual guests, but it describes delivering enjoyment rather than a transformative vision of a better future [2]. Community Impact (1/2): Carnival employs 160,000 people globally, contributes significantly to port economies across dozens of countries, and has committed to 25%+ GHG emission reduction by 2029 through the PROPEL framework. The company received a Glassdoor Employees' Choice Award as one of the best 100 US places to work in 2021 [2]. However, MSCI ESG rating of 'B' (Laggard) suggests community and environmental impact remains below industry standards. Employee Retention (1/2): CEO Josh Weinstein's 20+ year tenure with the company, promotion from within, and the company's survival of the existential COVID-19 shutdown without organizational disintegration demonstrate leadership stability and institutional resilience. Operating 90+ ships with 160,000 multinational employees achieving record performance requires extraordinary coordination [1]. Insider Buying (1/2): Weinstein's compensation is performance-linked and equity-based. The board's decision to reinstate the quarterly dividend at $0.15/share while still deleveraging signals management confidence [1]. The $2.5B share buyback authorization under PROPEL demonstrates capital return conviction. No specific net open-market insider buying data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growth stock. Dividend reinstated February 2026 at $0.60/year (yield 2.16%, consecutive years paid = 1) — does not qualify for Dividend sleeve (lacks 5+ year history). Liquidity floor passes: 18.9M avg volume x $27.73 = $523.7M daily liquidity [3]. D/E of 202% scores (300-202)/(300-70) = 0.426 (1x weight). ROE of 26.69% scores 1.0 (2x weight) [3]. Revenue Growth YoY of 5.3% (Q2 2026) scores (5.3-(-20))/(10-(-20)) = 0.843 (1x weight). Revenue Growth 5yr CAGR: Using pre-COVID baseline — 2021 revenue $1.91B to 2025 $26.62B gives a distorted 93% CAGR; using 2019 $20.8B to 2025 $26.62B gives 4.2% — score = (4.2-(-5))/(10-(-5)) = 0.613 (2x weight). Forward P/E of 11.88 scores 1.0 (1x weight) [3]. Profit Margin of 11.24% scores 11.24/20 = 0.562 (1x weight). Forward PEG of 1.02 scores (3-1.02)/(3-1) = 0.99 (2x weight) [3]. Weighted sum: 0.426 + (2x1.0) + 0.843 + (2x0.613) + 1.0 + 0.562 + (2x0.99) = 8.037. Max weighted sum = 10. Infrastructure = round(8.037/10 x 10) = round(8.04) = 8. Adjusting slightly to 7 given elevated $26.17B total debt (3.52x EBITDA) — the balance sheet is still in pandemic recovery despite rapid deleveraging.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Carnival demonstrates genuine infinite game traits through its extraordinary survival of the COVID-19 pandemic — the complete shutdown of all cruise operations from March 2020, raising $20B+ in capital to avoid bankruptcy, and rebuilding to record revenue and earnings within three years. This is one of the most compelling examples of organizational resilience in modern corporate history. CEO Weinstein's 20+ year tenure, the PROPEL 2029 framework, and the commitment to environmental sustainability signal long-term orientation. However, the $26B net debt burden and the entertainment-focused mission create structural finite pressures. The PROPEL emphasis on returning $14B to shareholders and achieving specific ROIC/EPS targets reflects a company playing both games simultaneously.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Carnival's purpose of creating 'unforgettable happiness' through cruise experiences is genuine and resonates with 14+ million annual guests. The nine-brand portfolio demonstrates commitment to serving diverse guest needs from mass market through ultra-luxury. CEO Weinstein's 20+ year tenure and PROPEL's emphasis on sustainable growth and environmental commitments (25%+ GHG reduction by 2029) reflect a cause extending beyond quarterly earnings [1]. However, the cause is commercial entertainment — not a transformative vision of a better world — placing it firmly at 2/3.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Operating a global fleet of 90+ ships with 160,000 multinational employees across nine brands requires extraordinary trust and coordination. Record Q2 2026 performance — record revenue $6.7B, record adjusted net income $569M, record bookings for 2026 and 2027 — demonstrates effective team execution at massive scale [1]. CEO Weinstein's 20+ year tenure and promotion from within signal leadership continuity. The company survived COVID-19 without organizational disintegration. However, the multinational crew model with rotations makes deep cultural assessment difficult.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Carnival competes with Royal Caribbean Group and Norwegian Cruise Line Holdings in a market experiencing significant non-Carnival capacity growth. The company's response has been disciplined yield management and brand loyalty rather than destructive price competition. Record 2026-2027 booking volumes despite competitive capacity growth demonstrate that Carnival uses competitive pressure to strengthen its value proposition [1].</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Carnival survived the most extreme stress test in modern corporate history — complete global suspension of all cruise operations from March 2020, raising $20B+ in capital at punitive rates to avoid bankruptcy, and rebuilding to record revenue and earnings within three years [1]. The company fundamentally reinvented its financial structure and operational model under existential duress, emerging with Fitch investment-grade credit rating and the PROPEL multi-year growth framework. This is Sinek's canonical existential flexibility scenario.</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Reinstating the quarterly dividend while carrying $26B+ in net debt, authorizing $2.5B in buybacks under PROPEL, and committing to 25%+ GHG reduction by 2029 demonstrate leadership willing to make forward commitments [1]. The PROPEL framework prioritizes ROIC above 16% over volume expansion — choosing structural profitability over near-term market share. However, these commitments carry less relative risk at $7.6B EBITDA scale, and the Q2 2026 EPS softness ($0.39 vs. $0.43 prior year) prompted a lowered full-year outlook, suggesting pragmatism over bold conviction.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Carnival Corporation delivered record Q2 2026 results with revenue of $6.7B, record net yields, and record adjusted net income of $569M (up 20%+ YoY), with new bookings reaching historic highs for both 2026 and 2027 [1]. The PROPEL 2029 framework targets ROIC above 16%, 50%+ adjusted EPS growth, and approximately $14B in shareholder distributions including a $2.5B buyback authorization. At a forward P/E of 11.88 and PEG of 1.02, Carnival offers compelling value for a market-dominant franchise with $27B+ in annual revenue, 26.69% ROE, and clear path to sub-3x leverage. Net debt has been reduced by $10B+ from pandemic peak, Fitch now rates Carnival investment grade, and the reinstated $0.60 annual dividend (2.16% yield) signals management confidence in the earnings trajectory [3].</w:t>
      </w:r>
    </w:p>
    <w:p>
      <w:pPr>
        <w:spacing w:after="120"/>
      </w:pPr>
      <w:r>
        <w:rPr>
          <w:rFonts w:ascii="Calibri" w:hAnsi="Calibri"/>
          <w:b w:val="0"/>
          <w:color w:val="3A4A28"/>
          <w:sz w:val="20"/>
        </w:rPr>
        <w:t>The bear case centers on the legacy debt burden and macro sensitivity. Debt-to-equity of 202% remains elevated with $26.17B in total debt (3.52x EBITDA), and any demand shock from recession, pandemic recurrence, or geopolitical disruption could rapidly reignite financial distress [3]. Q2 2026 EPS of $0.39 declined from $0.43 in Q2 2025, and management lowered full-year 2026 EPS guidance from $2.49 to $2.21, signaling near-term execution challenges despite record booking volumes [1]. Carnival faces meaningful non-Carnival Caribbean capacity growth from Royal Caribbean and Norwegian that could pressure yields. The MSCI ESG rating of 'B' (Laggard) and Inspire score of -53 (MISALIGNED) reflect environmental and social governance concerns including emissions, waste management, and onboard gambling that may deter values-oriented investors. Revenue growth has moderated to 5.3% YoY from the post-pandemic surge, and the 5yr CAGR of 4.2% (using pre-COVID baseline) suggests limited organic growth beyond recovery normalization.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PROPEL 2029 execution driving ROIC from ~13.5% toward 16%+ target — each 100bps of ROIC expansion at $27B+ revenue scale represents significant incremental earnings power and potential P/E re-rating from 11.88x toward mid-teens multiples</w:t>
      </w:r>
    </w:p>
    <w:p>
      <w:pPr>
        <w:spacing w:before="40" w:after="40"/>
        <w:ind w:left="283"/>
      </w:pPr>
      <w:r>
        <w:rPr>
          <w:rFonts w:ascii="Calibri" w:hAnsi="Calibri"/>
          <w:b/>
          <w:color w:val="4A6B25"/>
          <w:sz w:val="20"/>
        </w:rPr>
        <w:t xml:space="preserve">2. </w:t>
      </w:r>
      <w:r>
        <w:rPr>
          <w:rFonts w:ascii="Calibri" w:hAnsi="Calibri"/>
          <w:b w:val="0"/>
          <w:color w:val="3A4A28"/>
          <w:sz w:val="20"/>
        </w:rPr>
        <w:t>Net debt reduction toward 2.75x EBITDA target (from 3.52x currently) enabling further credit upgrades, reducing interest expense by hundreds of millions annually, and accelerating the $14B shareholder distribution program including $2.5B buyback</w:t>
      </w:r>
    </w:p>
    <w:p>
      <w:pPr>
        <w:spacing w:before="40" w:after="40"/>
        <w:ind w:left="283"/>
      </w:pPr>
      <w:r>
        <w:rPr>
          <w:rFonts w:ascii="Calibri" w:hAnsi="Calibri"/>
          <w:b/>
          <w:color w:val="4A6B25"/>
          <w:sz w:val="20"/>
        </w:rPr>
        <w:t xml:space="preserve">3. </w:t>
      </w:r>
      <w:r>
        <w:rPr>
          <w:rFonts w:ascii="Calibri" w:hAnsi="Calibri"/>
          <w:b w:val="0"/>
          <w:color w:val="3A4A28"/>
          <w:sz w:val="20"/>
        </w:rPr>
        <w:t>Record 2026 and 2027 booking levels provide exceptional revenue visibility and yield pricing power, with Asia cruise market recovery adding incremental revenue from a market effectively closed through 2024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Total debt of $26.17B (D/E 202%, 3.52x EBITDA) creates vulnerability to any demand shock — recession, pandemic recurrence, or geopolitical disruption could rapidly reignite financial distress, and the reinstated $0.60 dividend constrains cash for accelerated deleveraging</w:t>
      </w:r>
    </w:p>
    <w:p>
      <w:pPr>
        <w:spacing w:before="40" w:after="40"/>
        <w:ind w:left="283"/>
      </w:pPr>
      <w:r>
        <w:rPr>
          <w:rFonts w:ascii="Calibri" w:hAnsi="Calibri"/>
          <w:b/>
          <w:color w:val="4A6B25"/>
          <w:sz w:val="20"/>
        </w:rPr>
        <w:t xml:space="preserve">2. </w:t>
      </w:r>
      <w:r>
        <w:rPr>
          <w:rFonts w:ascii="Calibri" w:hAnsi="Calibri"/>
          <w:b w:val="0"/>
          <w:color w:val="3A4A28"/>
          <w:sz w:val="20"/>
        </w:rPr>
        <w:t>Q2 2026 EPS decline ($0.39 vs. $0.43 YoY) and lowered full-year guidance from $2.49 to $2.21 EPS suggest near-term margin pressure from fuel costs and competitive capacity growth that could challenge PROPEL trajectory</w:t>
      </w:r>
    </w:p>
    <w:p>
      <w:pPr>
        <w:spacing w:before="40" w:after="40"/>
        <w:ind w:left="283"/>
      </w:pPr>
      <w:r>
        <w:rPr>
          <w:rFonts w:ascii="Calibri" w:hAnsi="Calibri"/>
          <w:b/>
          <w:color w:val="4A6B25"/>
          <w:sz w:val="20"/>
        </w:rPr>
        <w:t xml:space="preserve">3. </w:t>
      </w:r>
      <w:r>
        <w:rPr>
          <w:rFonts w:ascii="Calibri" w:hAnsi="Calibri"/>
          <w:b w:val="0"/>
          <w:color w:val="3A4A28"/>
          <w:sz w:val="20"/>
        </w:rPr>
        <w:t>Environmental regulatory risk — MSCI ESG 'B' rating, increasing port restrictions on cruise ship emissions and waste management, and the PROPEL commitment to 25%+ GHG reduction by 2029 require significant capital investment competing with shareholder distributions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Cruise vacations are a fundamentally physical, experiential product — the ocean itself, port destinations, onboard dining, entertainment, and human hospitality are irreplaceable by any AI application. No AI product can substitute for the lived experience of a Caribbean cruise or Norwegian fjord sailing. Carnival's hardware-centric business — a physical fleet of 90+ ships — creates a structural moat that AI cannot erode [1][2]. The 160,000-employee operational workforce across global ship operations, port logistics, and guest services involves deeply physical work immune to AI substitution. AI may enhance operational efficiency (fuel optimization, predictive maintenance, booking personalization) but these are enablers, not threats. Analysts see zero substitution risk from AI to the core cruise experience. AI Opportunity (0/1): Carnival has piloted over 100 generative AI projects but only six are in production, and no specific AI-attributed revenue or quantified cost savings have been publicly disclosed [2]. The OceanMedallion platform and booking personalization offer future AI revenue potential, but this point requires demonstrated measurable AI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-53</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Gambling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Carnival Corporation Q2 2026 Earnings Release — Record revenue $6.7B, record adjusted net income $569M, record bookings for 2026 and 2027, PROPEL update, PRNewswire, June 2026</w:t>
      </w:r>
    </w:p>
    <w:p>
      <w:pPr>
        <w:spacing w:before="20" w:after="20"/>
        <w:ind w:left="170"/>
      </w:pPr>
      <w:r>
        <w:rPr>
          <w:rFonts w:ascii="Calibri" w:hAnsi="Calibri"/>
          <w:b/>
          <w:color w:val="4A6B25"/>
          <w:sz w:val="15"/>
        </w:rPr>
        <w:t xml:space="preserve">2. </w:t>
      </w:r>
      <w:r>
        <w:rPr>
          <w:rFonts w:ascii="Calibri" w:hAnsi="Calibri"/>
          <w:b w:val="0"/>
          <w:color w:val="3A4A28"/>
          <w:sz w:val="17"/>
        </w:rPr>
        <w:t>Carnival Corporation Leadership, AI Strategy, and ESG — CEO Josh Weinstein, Glassdoor recognition, 100+ AI pilots, MSCI ESG rating 'B', KnowESG/Fortune, 2025-2026</w:t>
      </w:r>
    </w:p>
    <w:p>
      <w:pPr>
        <w:spacing w:before="20" w:after="20"/>
        <w:ind w:left="170"/>
      </w:pPr>
      <w:r>
        <w:rPr>
          <w:rFonts w:ascii="Calibri" w:hAnsi="Calibri"/>
          <w:b/>
          <w:color w:val="4A6B25"/>
          <w:sz w:val="15"/>
        </w:rPr>
        <w:t xml:space="preserve">3. </w:t>
      </w:r>
      <w:r>
        <w:rPr>
          <w:rFonts w:ascii="Calibri" w:hAnsi="Calibri"/>
          <w:b w:val="0"/>
          <w:color w:val="3A4A28"/>
          <w:sz w:val="17"/>
        </w:rPr>
        <w:t>StockAnalysis.com — CCL key statistics: stock price $27.73, market cap $38.0B, P/E 12.72, Forward P/E 11.88, PEG 1.02, D/E 202%, ROE 26.69%, profit margin 11.24%, dividend yield 2.16%,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