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CFG</w:t>
      </w:r>
      <w:r>
        <w:rPr>
          <w:rFonts w:ascii="Calibri" w:hAnsi="Calibri"/>
          <w:b/>
          <w:color w:val="1A2010"/>
          <w:sz w:val="40"/>
        </w:rPr>
        <w:t xml:space="preserve">  Citizens Financial Group, Inc.</w:t>
      </w:r>
    </w:p>
    <w:p>
      <w:pPr>
        <w:spacing w:after="120"/>
      </w:pPr>
      <w:r>
        <w:rPr>
          <w:rFonts w:ascii="Calibri" w:hAnsi="Calibri"/>
          <w:b/>
          <w:color w:val="6E8450"/>
          <w:sz w:val="18"/>
        </w:rPr>
        <w:t>DIVIDEND SLEEVE · 2026-08-25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Citizens Financial Group is one of the largest U.S. regional banking institutions, offering retail and commercial banking products and services through approximately 1,000 branches in 14 states and the District of Columbia. The company provides consumer banking (deposits, mortgages, student lending, credit cards), commercial banking (middle market, corporate, and capital markets), and wealth management services. CEO Bruce Van Saun has led the company since 2013 and is executing a $300M 'Reimagine the Bank' AI transformation initiative. Q2 2026 delivered record revenue of $2.28B with EPS of $1.30 (+41% YoY) and NII of $1.63B (+14% YoY). Market cap approximately $29.6B.</w:t>
      </w:r>
    </w:p>
    <w:p>
      <w:r>
        <w:rPr>
          <w:rFonts w:ascii="Calibri" w:hAnsi="Calibri"/>
          <w:b/>
          <w:color w:val="6E8450"/>
          <w:sz w:val="18"/>
        </w:rPr>
        <w:t>17,500 Employees · https://www.citizensbank.com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Citizens has executed a meaningful strategic transformation under Van Saun's 13-year tenure, evolving from a traditional regional bank into a diversified financial services platform. The 'Reimagine the Bank' initiative — a $300M, 3-year AI-driven transformation encompassing 50 initiatives — represents a significant strategic pivot aimed at fundamentally redesigning how the bank serves customers and operates [2]. The private bank expansion and record capital markets quarter demonstrate successful business line diversification. However, the transformation is in early stages and has not yet been validated by sustained results. AI Deployment (2/2): Citizens is deploying AI at scale across multiple customer-facing and operational functions. Agentic AI is being deployed in the retail call center targeting 50%+ of calls answered by AI (expected halfway by end of 2026), AI solutions are live in credit card contact centers for customer query resolution, and the bank targets $450M in operational savings by 2028 through AI-driven efficiency [2]. CEO Van Saun described this as deploying 'generative AI and agentic AI' to redesign the bank's operating model. Market Share (0/2): Citizens is a mid-tier regional bank, the 14th-largest U.S. bank by assets. While growing market share through the private bank and capital markets expansion, CFG is not a category leader or fastest share gainer in any banking segment. Product Pipeline (1/2): The 'Reimagine the Bank' program with 50 identified initiatives provides multi-year transformation visibility, and management guided to a medium-term ROTCE target of 16-18% by end-2027 with efficiency improving toward mid-50s. However, specific next-generation product launches with named dates are limited beyond the AI transformation roadmap [1]. R&amp;D Intensity (0/1): Banks do not traditionally have high R&amp;D intensity as a percentage of revenue. The $300M Reimagine the Bank investment is meaningful but represents typical technology modernization spending for a mid-sized bank.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Citizens positions itself as a customer-centric, performance-oriented banking institution with a mission focused on helping customers navigate their financial lives. This is generic banking language interchangeable with any regional bank — it does not articulate a distinctive purpose or deeper vision beyond standard financial services delivery [1]. The competitive framing ('united Citizens against America's biggest banks') reflects a market-share-oriented strategy rather than an inspirational cause. Community Impact (0/2): As a regulated bank subject to Community Reinvestment Act obligations, Citizens operates community lending and development programs across its 14-state footprint. However, no evidence of distinctive charitable programs, foundations, or community investment with specific dollar amounts above and beyond regulatory requirements was identified [4]. Employee Retention (1/2): CEO Bruce Van Saun's 13-year tenure (since October 2013) represents exceptional leadership continuity through multiple banking cycles. Brendan Coughlin's promotion to President from within signals effective succession planning and organizational stability. COO Manny Tocco's emphasis on 'classic plus innovation' culture balancing tradition with transformation suggests thoughtful cultural management [2]. However, no specific voluntary turnover or average tenure data is publicly available. Insider Buying (0/2): Net insider selling of ~$0.4M over the past 3 months. Only minimal insider purchases identified — a 10-share buy in 2024 and a 20-share buy in 2025, well below the threshold for 'meaningful net insider buying.' No evidence of significant discretionary purchases by CEO Van Saun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(yield 2.62%, 10+ years of dividend payments). D/E of 51% scores (300-51)/(300-70) = 1.08, capped at 1.0 — conservative leverage for a bank [3]. ROE of 8.27% scores (8.27-0)/(15-0) = 0.55 at 1x weight — below the 15% target, reflecting the bank's investment phase (management targets 16-18% ROTCE by end-2027) [1]. Revenue Growth YoY of ~14% (NII +14% YoY, record total revenue) scores 1.0 (capped) [1]. Revenue Growth 5yr CAGR: excluded (unavailable). Forward P/E of 11.87 scores (60-11.87)/(60-20) = 1.0 (capped) — deeply attractive valuation for a bank with accelerating earnings [3]. Profit Margin of 26.05% scores 1.0 (capped) [3]. Payout Ratio of 40.08% scores (100-40.08)/(100-40) = 1.0 — exactly at the 40% target [3]. Consecutive Years Paid: 10 scores 1.0 at 2x weight. Consecutive Years Growth: 2 scores 0.2 at 1x weight — dividend was frozen during COVID and only recently resumed increases [3]. 5yr Dividend Growth CAGR of ~3.3% scores 3.3/6 = 0.55 at 2x weight — modest growth reflecting the COVID freeze period. Weighted sum: 1.0+0.55+1.0+1.0+1.0+1.0+(2x1.0)+0.2+(2x0.55) = 8.85. Max = 11 (excluding 5yr Rev CAGR). Infrastructure = round(8.85/11 x 10) = 8. Liquidity: 2.9M avg volume x $70.23 = ~$204M,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Citizens Financial Group operates with a predominantly finite game mindset oriented toward competitive performance metrics — record revenue, EPS growth, ROTCE targets, and efficiency ratios. Bruce Van Saun's 13-year tenure provides exceptional leadership stability, and the 'Reimagine the Bank' initiative shows forward-thinking strategic vision. However, the company's purpose is defined by financial performance ('top-performing bank') rather than a Just Cause, the competitive framing centers on 'uniting against America's biggest banks' rather than self-improvement, and strategic decisions are measured against near-term financial targets rather than a transcendent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Citizens' purpose centers on being a high-performing, customer-centric bank — standard financial services positioning that does not articulate a vision of a future state beyond the company's own success [1]. The 'Reimagine the Bank' initiative is a strategic transformation program, not a Just Cause. The competitive narrative — 'united Citizens against America's biggest banks' — frames the company's existence in terms of winning against competitors rather than advancing a cause that transcends any single product or market cycle. This is a well-managed bank with clear financial targets (16-18% ROTCE by end-2027), but Sinek would distinguish between operational excellence and a genuine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Van Saun's 13-year tenure and the promotion of Brendan Coughlin to President from within demonstrate leadership continuity and succession planning. COO Manny Tocco's emphasis on 'classic plus innovation' — balancing human relationships with AI — suggests awareness of organizational trust concerns during technology transformation [2]. The bank's stable leadership through multiple economic cycles indicates adequate organizational trust. However, the 'Reimagine the Bank' program targeting $450M in savings inevitably involves workforce displacement as 50%+ of call center interactions shift to AI, creating tension between transformation goals and employee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Citizens' competitive positioning is framed in finite terms — 'uniting against America's biggest banks' and competing for market share against JPMorgan, Bank of America, and Wells Fargo. While the bank's technology investments show awareness of what larger competitors do well (digital capabilities, scale), the competitive language is about defending territory and closing performance gaps rather than using rivals' strengths as motivation for self-improvement. Management's focus on 'record revenue,' 'record capital markets,' and ROTCE targets reflects a winning mindset rather than a learning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Citizens has evolved from a traditional regional bank into a more diversified financial services platform, building out the private bank, capital markets business (record quarter in Q2 2026), and comprehensive AI transformation [1][2]. The 'Reimagine the Bank' initiative with 50 initiatives across the organization represents meaningful strategic adaptation. However, the company remains fundamentally a regional bank — it has not reinvented its identity or abandoned core businesses. This is incremental evolution within the banking category, driven by competitive necessity rather than a purpose-driven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$300M 'Reimagine the Bank' AI investment over 3 years demonstrates willingness to make meaningful long-term bets on technology transformation, accepting near-term costs for future capability [2]. Van Saun has invested in building the private bank and capital markets businesses while competitors retrenched, and the bank has maintained its transformation investments through the challenging 2023-2024 interest rate environment. However, these decisions are financially motivated — they align with the medium-term ROTCE target of 16-18% rather than requiring sacrifice of near-term performance for purpose-driven reasons.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Citizens Financial at 11.87x forward earnings is a well-managed regional bank delivering accelerating financial performance — Q2 2026 produced record revenue of $2.28B, EPS of $1.30 (+41% YoY), NII of $1.63B (+14% YoY driven by NIM expansion), and a record capital markets quarter [1]. The 2.62% dividend yield with a 40% payout ratio leaves room for meaningful dividend growth as ROTCE improves from ~8.3% toward the 16-18% target by end-2027. Management guided Q3 NII growth of 2.5-3.5% with NIM expansion to 3.22-3.27% by Q4 2026, and revenue is tracking above January guidance with &gt;600bps of positive operating leverage. The $300M 'Reimagine the Bank' AI transformation targeting $450M in annual savings by 2028 provides a structural efficiency tailwind that should drive the efficiency ratio from 61% toward the mid-50s target [2]. At a PEG ratio of 0.48, the market appears to significantly undervalue the earnings growth trajectory. Van Saun's 13-year track record of execution gives confidence in the transformation roadmap [3].</w:t>
      </w:r>
    </w:p>
    <w:p>
      <w:pPr>
        <w:spacing w:after="120"/>
      </w:pPr>
      <w:r>
        <w:rPr>
          <w:rFonts w:ascii="Calibri" w:hAnsi="Calibri"/>
          <w:b w:val="0"/>
          <w:color w:val="3A4A28"/>
          <w:sz w:val="20"/>
        </w:rPr>
        <w:t>The bear case centers on cyclical exposure, transformation execution risk, and the interest rate environment. As a regional bank, CFG's earnings are inherently tied to the credit cycle — any deterioration in loan quality, particularly in commercial real estate or consumer lending, could reverse the NIM expansion narrative and pressure the 16-18% ROTCE target [1]. ROE of 8.27% remains well below the 15% target, reflecting the bank's investment phase — if the 'Reimagine the Bank' program fails to deliver the projected $450M in savings or creates customer friction (as 50%+ of call center calls shift to AI), the efficiency improvement thesis breaks down [2]. The dividend has only grown for 2 consecutive years after being frozen during COVID, and the 3.3% 5yr CAGR suggests modest income growth history. With only 2.62% yield, CFG underperforms tobacco and utility peers for pure income investors. The stock's 38% 52-week appreciation has priced in much of the NIM expansion story, and the Inspire Impact Score of -67 (MISALIGNED) limits allocation for faith-based investors [3][4]. Competition from larger banks with deeper technology budgets and fintech disruptors with lower cost structures creates ongoing market share pressure in commodity banking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NIM expansion to 3.22-3.27% by Q4 2026 with continued NII growth driven by asset repricing and earning asset growth, providing visible earnings momentum toward the 16-18% ROTCE target by end-2027 [1]</w:t>
      </w:r>
    </w:p>
    <w:p>
      <w:pPr>
        <w:spacing w:before="40" w:after="40"/>
        <w:ind w:left="283"/>
      </w:pPr>
      <w:r>
        <w:rPr>
          <w:rFonts w:ascii="Calibri" w:hAnsi="Calibri"/>
          <w:b/>
          <w:color w:val="4A6B25"/>
          <w:sz w:val="20"/>
        </w:rPr>
        <w:t xml:space="preserve">2. </w:t>
      </w:r>
      <w:r>
        <w:rPr>
          <w:rFonts w:ascii="Calibri" w:hAnsi="Calibri"/>
          <w:b w:val="0"/>
          <w:color w:val="3A4A28"/>
          <w:sz w:val="20"/>
        </w:rPr>
        <w:t>'Reimagine the Bank' AI transformation with 50 initiatives and $450M savings target by 2028 — agentic AI deployment in call centers (50%+ AI-answered target) provides a structural efficiency tailwind that should compress the efficiency ratio from 61% toward mid-50s [2]</w:t>
      </w:r>
    </w:p>
    <w:p>
      <w:pPr>
        <w:spacing w:before="40" w:after="40"/>
        <w:ind w:left="283"/>
      </w:pPr>
      <w:r>
        <w:rPr>
          <w:rFonts w:ascii="Calibri" w:hAnsi="Calibri"/>
          <w:b/>
          <w:color w:val="4A6B25"/>
          <w:sz w:val="20"/>
        </w:rPr>
        <w:t xml:space="preserve">3. </w:t>
      </w:r>
      <w:r>
        <w:rPr>
          <w:rFonts w:ascii="Calibri" w:hAnsi="Calibri"/>
          <w:b w:val="0"/>
          <w:color w:val="3A4A28"/>
          <w:sz w:val="20"/>
        </w:rPr>
        <w:t>Private bank acceleration and record capital markets business diversifying revenue streams beyond traditional net interest income, reducing cyclical sensitivity to interest rate movements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as a regional bank with significant commercial real estate and consumer lending exposure, any increase in loan losses could reverse NIM expansion gains and pressure the 16-18% ROTCE target that underpins the valuation thesis [1]</w:t>
      </w:r>
    </w:p>
    <w:p>
      <w:pPr>
        <w:spacing w:before="40" w:after="40"/>
        <w:ind w:left="283"/>
      </w:pPr>
      <w:r>
        <w:rPr>
          <w:rFonts w:ascii="Calibri" w:hAnsi="Calibri"/>
          <w:b/>
          <w:color w:val="4A6B25"/>
          <w:sz w:val="20"/>
        </w:rPr>
        <w:t xml:space="preserve">2. </w:t>
      </w:r>
      <w:r>
        <w:rPr>
          <w:rFonts w:ascii="Calibri" w:hAnsi="Calibri"/>
          <w:b w:val="0"/>
          <w:color w:val="3A4A28"/>
          <w:sz w:val="20"/>
        </w:rPr>
        <w:t>AI transformation execution risk — the $300M 'Reimagine the Bank' program aims to shift 50%+ of call center interactions to AI by 2028, but customer friction, regulatory pushback, or operational disruption during the transition could impair service quality and customer retention [2]</w:t>
      </w:r>
    </w:p>
    <w:p>
      <w:pPr>
        <w:spacing w:before="40" w:after="40"/>
        <w:ind w:left="283"/>
      </w:pPr>
      <w:r>
        <w:rPr>
          <w:rFonts w:ascii="Calibri" w:hAnsi="Calibri"/>
          <w:b/>
          <w:color w:val="4A6B25"/>
          <w:sz w:val="20"/>
        </w:rPr>
        <w:t xml:space="preserve">3. </w:t>
      </w:r>
      <w:r>
        <w:rPr>
          <w:rFonts w:ascii="Calibri" w:hAnsi="Calibri"/>
          <w:b w:val="0"/>
          <w:color w:val="3A4A28"/>
          <w:sz w:val="20"/>
        </w:rPr>
        <w:t>Dividend growth uncertainty — only 2 consecutive years of increases after a COVID-era freeze, with 3.3% 5yr CAGR and 2.62% yield that underperforms income-focused alternatives; if ROE improvement stalls below the 15% target, dividend acceleration may not materialize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Banking is a deeply regulated industry with structural defensive moats against AI disruption — banking licenses, FDIC insurance, capital requirements, regulatory examinations, and decades of customer relationships create barriers that AI-native fintech competitors have not significantly breached [1]. Citizens' core business of taking deposits, originating loans, and providing commercial banking involves complex regulatory compliance, physical branch presence, and relationship-based decision-making that AI cannot easily replicate. AI fintech competitors (SoFi, LendingClub) have made limited inroads against established banks. However, some business functions — call centers, loan processing, back-office operations — face automation pressure, and digital-first competitors could gradually erode commodity retail banking relationships. Citizens is proactively deploying AI with the $300M 'Reimagine the Bank' program to stay ahead of this competitive pressure rather than be disrupted by it [2]. AI Opportunity (0/1): Citizens does not generate revenue from AI products or services sold to external customers. AI is deployed internally for operational efficiency ($450M savings target by 2028) and customer service enhancement, but these are cost reductions, not AI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Citizens Financial Group Q2 2026 Earnings — Record Revenue $2.28B, EPS $1.30 (+41% YoY), NII $1.63B (+14%), Record Capital Markets, Q3 NII Guidance +2.5-3.5%, Medium-Term ROTCE 16-18% — TipRanks, Yahoo Finance, Motley Fool, July 2026</w:t>
      </w:r>
    </w:p>
    <w:p>
      <w:pPr>
        <w:spacing w:before="20" w:after="20"/>
        <w:ind w:left="170"/>
      </w:pPr>
      <w:r>
        <w:rPr>
          <w:rFonts w:ascii="Calibri" w:hAnsi="Calibri"/>
          <w:b/>
          <w:color w:val="4A6B25"/>
          <w:sz w:val="15"/>
        </w:rPr>
        <w:t xml:space="preserve">2. </w:t>
      </w:r>
      <w:r>
        <w:rPr>
          <w:rFonts w:ascii="Calibri" w:hAnsi="Calibri"/>
          <w:b w:val="0"/>
          <w:color w:val="3A4A28"/>
          <w:sz w:val="17"/>
        </w:rPr>
        <w:t>Citizens Financial AI Transformation — 'Reimagine the Bank' $300M Program, $450M Savings Target by 2028, Agentic AI Call Centers, 50 Initiatives, 'Classic Plus Innovation' — American Banker, PYMNTS, The Financial Brand, Semafor,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CFG Key Statistics: $70.23 Price, Forward P/E 11.87x, P/E 15.30x, PEG 0.48, D/E 51%, ROE 8.27%, Profit Margin 26.05%, Div Yield 2.62%, Market Cap $29.6B,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Citizens Financial ESG — MSCI: A Rating, Sustainalytics Risk 22.3, CRA Compliance, Community Programs — KnowESG, SEC Filings,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