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CNP</w:t>
      </w:r>
      <w:r>
        <w:rPr>
          <w:rFonts w:ascii="Calibri" w:hAnsi="Calibri"/>
          <w:b/>
          <w:color w:val="1A2010"/>
          <w:sz w:val="40"/>
        </w:rPr>
        <w:t xml:space="preserve">  CenterPoint Energy, Inc.</w:t>
      </w:r>
    </w:p>
    <w:p>
      <w:pPr>
        <w:spacing w:after="120"/>
      </w:pPr>
      <w:r>
        <w:rPr>
          <w:rFonts w:ascii="Calibri" w:hAnsi="Calibri"/>
          <w:b/>
          <w:color w:val="6E8450"/>
          <w:sz w:val="18"/>
        </w:rPr>
        <w:t>DIVIDEND SLEEVE · 2026-08-25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CenterPoint Energy is a regulated utility holding company operating electric transmission and distribution, natural gas distribution, and energy services across Texas (Houston metro), Indiana, Ohio, Minnesota, Mississippi, Louisiana, and Oklahoma. The company serves approximately 2.9 million metered customers and is executing a decade-long $65.5 billion grid modernization plan focused on undergrounding lines, self-healing automation, and AI-driven grid management in partnership with Palantir and NVIDIA. Founded through predecessor companies dating to 1866, CenterPoint reported TTM revenue of $9.62B and guided FY2026 non-GAAP EPS of $1.89-$1.91 (+8% YoY).</w:t>
      </w:r>
    </w:p>
    <w:p>
      <w:r>
        <w:rPr>
          <w:rFonts w:ascii="Calibri" w:hAnsi="Calibri"/>
          <w:b/>
          <w:color w:val="6E8450"/>
          <w:sz w:val="18"/>
        </w:rPr>
        <w:t>14,931 Employees · https://www.centerpointenergy.com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CenterPoint has delivered incremental infrastructure modernization over the past 5 years — smart meter deployments, system hardening post-Hurricane Harvey, and the Hurricane Groundwork and Resilience Initiative (GHRI) launched after the Hurricane Beryl response failures — but no transformative business model pivots or new product categories [1]. The core business remains regulated electric and gas distribution, fundamentally unchanged for decades. AI Deployment (1/2): CenterPoint is an early utility adopter of AI, partnering with Palantir and NVIDIA as a founding member of the Chain Reaction AI energy infrastructure initiative [2]. The company deployed Technosylva's AI-driven Multi Hazard Operations platform for weather forecasting and Neara's AI for storm recovery planning. However, no specific AI-driven revenue gains or quantified cost savings have been publicly reported. Market Share (1/2): CenterPoint is the dominant regulated utility in the Houston metropolitan area, the fourth-largest US city, providing both electric and gas service [1]. As a regulated monopoly, market share is effectively guaranteed through franchise rights rather than competitively won. Product Pipeline (1/2): The $65.5 billion decade-long grid modernization plan includes undergrounding, self-healing automation, and AI-driven management with specific regulatory filing timelines [2]. However, these are infrastructure investments, not new products with distinct revenue visibility. R&amp;D Intensity (1/1): Investment in AI partnerships (Palantir, NVIDIA, Neara, Technosylva) and grid modernization technology is above average for regulated utilities.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CenterPoint Energy's mission centers on delivering safe, reliable, and efficient energy solutions with a vision to lead the nation in energy, service, and value [3]. The mission is clear and identifies purpose, with core values of Safety, Integrity, Accountability, Initiative, and Respect. However, it is not distinctive — most regulated utilities articulate nearly identical missions. Community Impact (1/2): CenterPoint has served Houston and surrounding communities for 150+ years through predecessor companies, with community development programs and corporate philanthropy. The company's essential service role in Houston — hospitals, schools, homes — inherently serves community welfare, though specific charitable program dollar amounts are not prominently featured [3]. Employee Retention (1/2): The 14,931-person workforce operates in a regulated utility culture with stable employment, long tenures typical of the sector, and Glassdoor rating of 3.7/5.0 based on 1,034+ reviews [3]. However, CEO turnover (Jason Wells is the third CEO since 2019) and negative reviews citing the current CEO's impact on culture suggest organizational stress. Insider Buying (1/2): CEO Jason Wells holds 456,598+ shares directly plus additional family trust holdings, though transactions are primarily RSU-based compensation grants rather than open-market purchases [4]. No evidence of significant voluntary insider buying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CenterPoint's Forward P/E of 19.47x is below the 20x target, scoring 1.0 — a notable improvement from the prior screen's 23.16x as the stock price declined from $45 to $39 [5]. Revenue growth YoY of 7.10% and 5yr CAGR of ~2.9% are modest but consistent for a regulated utility [1]. ROE of 9.82% and profit margin of 11.61% are below ideal targets but respectable for the regulated utility sector [5]. D/E of 210% is elevated even by utility standards, reflecting the capital-intensive $65.5B grid modernization plan, but supported by regulated rate recovery mechanisms. On dividends, yield of 2.35%, payout ratio of 54.77%, consecutive years paid of 20+ (scoring 1.0 at 2x weight), and an estimated 5yr dividend growth CAGR of ~7% (above the 6% target, scoring 1.0 at 2x weight) provide strong dividend metric contributions [5][6]. Consecutive years of growth at 4 is below the 10-year target, reflecting the 2020 dividend cut related to the Enable Midstream separation. Liquidity is ample at ~$244M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CenterPoint Energy demonstrates infinite game qualities inherent to regulated utilities — a 150+ year operating history, genuine commitment to providing essential community infrastructure, and the willingness to commit $65.5 billion over a decade to grid modernization that will not generate returns for years [1][2]. However, recent history reveals finite-game pressures: the widely criticized Hurricane Beryl response in July 2024 that left 2.6+ million customers without power for days drew regulatory investigations and the CEO himself called the response 'inexcusable' [4]. CEO turnover (Jason Wells is the third CEO since 2019), the 2020 dividend cut, and Glassdoor reviews citing negative cultural impact from leadership changes suggest organizational instability inconsistent with infinite game principles.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CenterPoint's purpose of delivering safe, reliable energy to communities has genuine depth given 150+ years of continuous service through predecessor companies [3]. The $65.5 billion grid modernization commitment demonstrates investment far beyond quarterly horizons, and the company's essential role powering hospitals, schools, and homes in Houston connects its work to community welfare. However, the mission statement itself is generic for the utility sector and doesn't articulate a distinctively compelling future state. The purpose is real but not distinctive.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CenterPoint's 14,931 employees operate in a culture built around safety and reliability, with a Glassdoor rating of 3.7/5.0 from 1,034+ reviews indicating generally adequate employee sentiment [3]. The regulated utility model provides employment stability. However, CEO turnover (three CEOs since 2019), Glassdoor reviews noting the current CEO's negative cultural impact ('focused on cost control, central authority, and squeezing productivity from fewer people'), and the public criticism of the Hurricane Beryl response suggest organizational stress [3][4]. The 62% recommend-to-friend rate is below industry best.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CenterPoint management constructively frames competitive dynamics, acknowledging that utilities like Florida Power &amp; Light and Duke Energy have set standards for storm hardening and grid modernization that CenterPoint must match [2]. The partnership with Palantir and NVIDIA reflects willingness to learn from technology leaders rather than reinvent solutions internally. The company uses its Hurricane Beryl failures as motivation for improvement through the GHRI initiative rather than deflecting blame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CenterPoint executed a meaningful strategic pivot with the separation from Enable Midstream Partners in 2021 to become a pure-play regulated utility, divesting midstream operations to sharpen focus on transmission and distribution [1]. The $65.5 billion grid modernization plan and AI-driven grid management adoption represent significant strategic evolution. However, these are incremental adaptations within the same industry rather than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$65.5 billion decade-long grid modernization commitment demonstrates long-term investment willingness, and the adoption of AI grid management through Palantir and NVIDIA partnerships shows technological courage uncommon among regulated utilities [2]. CEO Jason Wells publicly calling the Hurricane Beryl response 'inexcusable' approximately a dozen times showed accountability. However, the failure to have pre-invested adequately in storm resilience before Beryl — despite Hurricane Harvey lessons years earlier — raises questions about whether operational courage matched strategic ambition [4]. The 2020 dividend cut, while strategically defensible, showed willingness to prioritize financial flexibility over income consistency.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CenterPoint Energy at 19.47x forward earnings offers a regulated utility with visible earnings growth — Q2 2026 non-GAAP EPS of $0.40 met estimates, full-year guidance of $1.89-$1.91 represents 8% growth over 2025, and management targets 7-9% annual EPS growth through 2035 [1]. The $65.5 billion decade-long grid modernization plan provides a multi-year rate base growth engine funded by regulated cost recovery, while Houston's position as a hub for energy, petrochemical, and emerging AI data center development drives organic electric load growth [2]. The dividend yield of 2.35% with 4 consecutive years of growth (CAGR ~7%) provides income recovery after the 2020 cut, and the payout ratio of 54.77% leaves room for continued increases. CenterPoint's AI partnership with Palantir and NVIDIA through Chain Reaction positions it as a technology leader among regulated utilities, potentially improving operational efficiency and storm response [2]. The stock has pulled back 13% from its June highs, creating a more attractive entry at Forward P/E below the 20x target.</w:t>
      </w:r>
    </w:p>
    <w:p>
      <w:pPr>
        <w:spacing w:after="120"/>
      </w:pPr>
      <w:r>
        <w:rPr>
          <w:rFonts w:ascii="Calibri" w:hAnsi="Calibri"/>
          <w:b w:val="0"/>
          <w:color w:val="3A4A28"/>
          <w:sz w:val="20"/>
        </w:rPr>
        <w:t>The bear case centers on execution risk, leverage, and Hurricane Beryl's lingering impact. D/E of 210% and the capital-intensive $65.5 billion grid plan will require continued debt issuance and potential equity dilution, creating financing risk if interest rates remain elevated or regulators deny full rate recovery [5]. The Hurricane Beryl disaster in July 2024 — 2.6+ million customers without power, CEO calling the response 'inexcusable,' Texas Senate investigation, AG Ken Paxton inquiry — damaged regulatory and public trust in CenterPoint's primary service territory and could complicate future rate case approvals [4]. Revenue growth of 7.10% YoY and 2.9% 5yr CAGR are modest, and the PEG ratio of 2.22 suggests limited margin of safety for execution misses. CEO turnover (three CEOs since 2019) and Glassdoor reviews citing negative cultural changes under current leadership indicate organizational instability. The 70% emission reduction target by 2035 adds regulatory compliance costs. The Inspire Impact Score of 42 (ALIGNED) is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$65.5 billion decade-long grid modernization plan driving sustained rate base growth through undergrounding, self-healing automation, and AI-driven management, with 7-9% annual EPS growth targeted through 2035 [1][2]</w:t>
      </w:r>
    </w:p>
    <w:p>
      <w:pPr>
        <w:spacing w:before="40" w:after="40"/>
        <w:ind w:left="283"/>
      </w:pPr>
      <w:r>
        <w:rPr>
          <w:rFonts w:ascii="Calibri" w:hAnsi="Calibri"/>
          <w:b/>
          <w:color w:val="4A6B25"/>
          <w:sz w:val="20"/>
        </w:rPr>
        <w:t xml:space="preserve">2. </w:t>
      </w:r>
      <w:r>
        <w:rPr>
          <w:rFonts w:ascii="Calibri" w:hAnsi="Calibri"/>
          <w:b w:val="0"/>
          <w:color w:val="3A4A28"/>
          <w:sz w:val="20"/>
        </w:rPr>
        <w:t>Houston data center and AI infrastructure buildout driving organic electric load growth, with hyperscale facilities increasing demand for reliable grid infrastructure in CenterPoint's primary service territory [2]</w:t>
      </w:r>
    </w:p>
    <w:p>
      <w:pPr>
        <w:spacing w:before="40" w:after="40"/>
        <w:ind w:left="283"/>
      </w:pPr>
      <w:r>
        <w:rPr>
          <w:rFonts w:ascii="Calibri" w:hAnsi="Calibri"/>
          <w:b/>
          <w:color w:val="4A6B25"/>
          <w:sz w:val="20"/>
        </w:rPr>
        <w:t xml:space="preserve">3. </w:t>
      </w:r>
      <w:r>
        <w:rPr>
          <w:rFonts w:ascii="Calibri" w:hAnsi="Calibri"/>
          <w:b w:val="0"/>
          <w:color w:val="3A4A28"/>
          <w:sz w:val="20"/>
        </w:rPr>
        <w:t>Palantir Chain Reaction AI grid platform and Neara storm recovery partnerships positioning CenterPoint as the technology leader among regulated utilities, potentially improving operational metrics and regulatory relationships after the Beryl debacle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210% and capital-intensive grid modernization program create financing risk; rising interest rates or regulatory denial of rate recovery could compress returns and force dividend reductions or equity dilution [5]</w:t>
      </w:r>
    </w:p>
    <w:p>
      <w:pPr>
        <w:spacing w:before="40" w:after="40"/>
        <w:ind w:left="283"/>
      </w:pPr>
      <w:r>
        <w:rPr>
          <w:rFonts w:ascii="Calibri" w:hAnsi="Calibri"/>
          <w:b/>
          <w:color w:val="4A6B25"/>
          <w:sz w:val="20"/>
        </w:rPr>
        <w:t xml:space="preserve">2. </w:t>
      </w:r>
      <w:r>
        <w:rPr>
          <w:rFonts w:ascii="Calibri" w:hAnsi="Calibri"/>
          <w:b w:val="0"/>
          <w:color w:val="3A4A28"/>
          <w:sz w:val="20"/>
        </w:rPr>
        <w:t>Hurricane Beryl response failures in July 2024 — 2.6M+ customers without power, regulatory investigations, CEO calling response 'inexcusable' — damaged public trust and could complicate future rate case approvals in Houston, the company's primary service territory [4]</w:t>
      </w:r>
    </w:p>
    <w:p>
      <w:pPr>
        <w:spacing w:before="40" w:after="40"/>
        <w:ind w:left="283"/>
      </w:pPr>
      <w:r>
        <w:rPr>
          <w:rFonts w:ascii="Calibri" w:hAnsi="Calibri"/>
          <w:b/>
          <w:color w:val="4A6B25"/>
          <w:sz w:val="20"/>
        </w:rPr>
        <w:t xml:space="preserve">3. </w:t>
      </w:r>
      <w:r>
        <w:rPr>
          <w:rFonts w:ascii="Calibri" w:hAnsi="Calibri"/>
          <w:b w:val="0"/>
          <w:color w:val="3A4A28"/>
          <w:sz w:val="20"/>
        </w:rPr>
        <w:t>CEO turnover (three CEOs since 2019) and Glassdoor-reported cultural deterioration under current leadership create organizational instability risk during a period requiring decade-long execution discipline on the $65.5B capital plan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CenterPoint Energy's regulated utility business is structurally immune to AI disruption — electric transmission and distribution, natural gas delivery, and physical grid infrastructure cannot be replaced by software or AI [1]. The business involves physical-world operations (power lines, substations, gas pipelines, meters) protected by regulatory monopoly franchises, rate-of-return regulation, and long-lived physical assets. AI is broadly expected to INCREASE demand for CenterPoint's core product (electricity) as data centers, AI training clusters, and hyperscale computing expand in Houston and other service territories [2]. Analysts see zero substitution risk and view CenterPoint as a net beneficiary of AI infrastructure buildout. The only modest risk is that AI-enabled distributed energy resources (rooftop solar, batteries, microgrids) could reduce grid dependency at the margin over the long term. AI Opportunity (0/1): While CenterPoint deploys AI operationally through the Palantir Chain Reaction partnership, Neara storm recovery AI, and Technosylva weather forecasting platform, these are internal efficiency tools, not revenue-generating AI products [2]. The company does not sell AI services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CenterPoint Energy Q2 2026 Earnings — Non-GAAP EPS $0.40, Revenue $2.15B (+10.7%), Full-Year Guidance $1.89-$1.91 EPS (+8%), 7-9% Long-Term EPS Growth Target, Yahoo Finance/StockTitan,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CenterPoint Energy AI Grid Modernization — Palantir/NVIDIA Chain Reaction Partnership, Neara Storm Recovery AI, Technosylva Weather Platform, $65.5B Capital Plan, Houston InnovationMap/Yahoo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CenterPoint Energy Culture and Leadership — Glassdoor 3.7/5.0 (1,034+ Reviews), CEO Jason Wells (Third CEO Since 2019), 14,931 Employees, Glassdoor/Comparably,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CenterPoint Energy Hurricane Beryl Response — 2.6M+ Customers Without Power, CEO Calls Response 'Inexcusable,' TX Senate/AG Investigations, GHRI Recovery Initiative, CBS Austin/TD World, 2024-2025</w:t>
      </w:r>
    </w:p>
    <w:p>
      <w:pPr>
        <w:spacing w:before="20" w:after="20"/>
        <w:ind w:left="170"/>
      </w:pPr>
      <w:r>
        <w:rPr>
          <w:rFonts w:ascii="Calibri" w:hAnsi="Calibri"/>
          <w:b/>
          <w:color w:val="4A6B25"/>
          <w:sz w:val="15"/>
        </w:rPr>
        <w:t xml:space="preserve">5. </w:t>
      </w:r>
      <w:r>
        <w:rPr>
          <w:rFonts w:ascii="Calibri" w:hAnsi="Calibri"/>
          <w:b w:val="0"/>
          <w:color w:val="3A4A28"/>
          <w:sz w:val="17"/>
        </w:rPr>
        <w:t>StockAnalysis — CNP Key Statistics: Price $39.10, Forward P/E 19.47, ROE 9.82%, D/E 210%, Profit Margin 11.61%, Dividend Yield 2.35%, Market Cap $25.76B,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CenterPoint Energy Dividend History — Annual Dividend $0.92, Payout Ratio 54.77%, 4 Consecutive Years Growth, 5yr CAGR ~7%, StockAnalysis/Koyfin,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