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CNQ</w:t>
      </w:r>
      <w:r>
        <w:rPr>
          <w:rFonts w:ascii="Calibri" w:hAnsi="Calibri"/>
          <w:b/>
          <w:color w:val="1A2010"/>
          <w:sz w:val="40"/>
        </w:rPr>
        <w:t xml:space="preserve">  Canadian Natural Resources Limited</w:t>
      </w:r>
    </w:p>
    <w:p>
      <w:pPr>
        <w:spacing w:after="120"/>
      </w:pPr>
      <w:r>
        <w:rPr>
          <w:rFonts w:ascii="Calibri" w:hAnsi="Calibri"/>
          <w:b/>
          <w:color w:val="6E8450"/>
          <w:sz w:val="18"/>
        </w:rPr>
        <w:t>DIVIDEND SLEEVE · 2026-08-17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E&amp;P · NYSE · Canada</w:t>
      </w:r>
    </w:p>
    <w:p>
      <w:pPr>
        <w:spacing w:after="80"/>
      </w:pPr>
      <w:r>
        <w:rPr>
          <w:rFonts w:ascii="Calibri" w:hAnsi="Calibri"/>
          <w:b w:val="0"/>
          <w:color w:val="3A4A28"/>
          <w:sz w:val="20"/>
        </w:rPr>
        <w:t>Canadian Natural Resources Limited is one of the largest independent crude oil and natural gas producers in the world, with operations in Western Canada, the UK North Sea, and Offshore Africa. Q2 2026 delivered record adjusted net earnings of $4.6B ($2.20/share) and record quarterly production of approximately 1,677,000 BOE/d (up 18% YoY). The company raised 2026 production guidance for the second time to 1,637-1,682 MBOE/d and acquired Peace River area assets for $761M. 2026 marks the 26th consecutive year of dividend increases with a 20% CAGR. Founded in 1973, headquartered in Calgary.</w:t>
      </w:r>
    </w:p>
    <w:p>
      <w:r>
        <w:rPr>
          <w:rFonts w:ascii="Calibri" w:hAnsi="Calibri"/>
          <w:b/>
          <w:color w:val="6E8450"/>
          <w:sz w:val="18"/>
        </w:rPr>
        <w:t>10,750 Employees · https://www.cnrl.com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Canadian Natural has steadily expanded production through disciplined capital allocation, achieving record quarterly production of ~1,677,000 BOE/d in Q2 2026 (up 18% YoY) and record adjusted net earnings of $4.6B [1]. The Peace River area acquisition for $761M and twice-raised 2026 guidance demonstrate operational excellence, but these represent incremental expansion of existing operations rather than transformative product launches or business model pivots. AI Deployment (1/2): CNRL has deployed AI enterprise-wide through the Schlumberger DELFI cognitive E&amp;P platform and digital twin technology, enabling engineers to optimize thousands of wells daily where they previously adjusted approximately a dozen per day [2]. The company's approach is characterized as 'industrial-scale application of proven AI technologies' — effective but not pioneering. Market Share (1/2): Canadian Natural is the largest independent oil and gas producer in Canada, with Q2 2026 total liquids production reaching a record ~1,249,000 barrels per day (up 23% YoY) [1]. However, in a commodity market, share leadership is less meaningful than cost position. Product Pipeline (1/2): Updated 2026 guidance of 1,637-1,682 MBOE/d (raised twice), $6.88B capital expenditure program, and ongoing environmental technology development provide clear near-term visibility [1]. R&amp;D Intensity (1/1): R&amp;D investment of $587M+ focused on environmental footprint reductions and GHG emissions reductions, well above E&amp;P industry average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Canadian Natural's purpose centers on responsible energy development — providing the energy the world needs while minimizing environmental impact. This is clear and specific to the company's role but does not articulate a transformative vision of a better future beyond incremental improvement [2][3]. Community Impact (2/2): The company has demonstrated significant community investment, working with 167 Indigenous businesses and awarding approximately $684 million in contracts to Indigenous communities. CNRL has published Stewardship Reports to Stakeholders since 2004, demonstrating a 22-year structured commitment to community engagement and environmental targets including 40% Scope 1 and 2 GHG reduction by 2035 [3]. Employee Retention (1/2): With 10,750 employees, Executive Chairman Murray Edwards has served 30+ years providing leadership continuity and institutional stability. Workforce stability in oil sands operations suggests adequate retention, though no specific turnover data is publicly available [2]. Insider Buying (1/2): Murray Edwards maintains a significant ownership stake. However, company insiders collectively sold CA$27 million more than they purchased over the past 12 months, representing net insider selling overall despite Edwards' long-term commitment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check: avg daily volume ~10.1M x $47.97 = $485M — passes $1M floor. Mechanically scored as a Dividend stock (26 consecutive years of dividend growth, yield ~3.7%). D/E of 44.85% scores 1.0 (1x) — well below 70% target. ROE of 22.82% scores 1.0 (1x) — above 15% target, driven by record Q2 2026 earnings [1]. Revenue growth YoY: Q2 2026 revenues of $10.6B vs $6.3B prior year = +68% growth, though on a TTM basis more moderate. Revenue growth 5yr CAGR approximately flat due to 2022 commodity price peak. Forward P/E of 12.79 scores 1.0 (1x) — deeply discounted below 20 target. Profit margin of 25.13% scores 1.0 (1x). Dividend metrics are exceptional: payout ratio ~45.5% scores 0.908 (1x), consecutive years paid 26 scores 1.0 (2x), consecutive years growth 26 scores 1.0 (1x), 5yr dividend growth CAGR ~20% scores 1.0 (2x) [1]. Weighted sum: strong across all metrics except revenue CAGR drag from 2022 peak. Score: 9.</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Canadian Natural Resources exhibits meaningful infinite-game characteristics in its operational philosophy, with 26 consecutive years of dividend growth (20% CAGR), counter-cyclical capital allocation, and multi-decade investment horizons for oil sands assets. The 22-year history of Stewardship Reports, $684M in Indigenous community contracts, and committed GHG reduction targets suggest the company plays to keep playing. However, the 'Not-Invented-Here' cultural risk, competitive language emphasizing operational dominance, and lack of transformative strategic flexibility limit the infinite game score.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Canadian Natural has a genuine cause around responsible energy development — providing the energy the world needs while continuously reducing environmental impact. This purpose connects the company's work to global energy security and has been consistently articulated through 22 years of Stewardship Reports, $587M+ in environmental R&amp;D, and committed targets of 40% Scope 1/2 GHG reduction by 2035 [3]. The cause is distinctive within the E&amp;P sector and drives strategic decisions. However, it has not been tested through the kind of existential strategic crisis that validates a true Just Cause. Display score: 7/10.</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CNRL's strong internal culture emphasizes operational discipline and cost efficiency. Murray Edwards has served as executive chairman for over 30 years, providing exceptional consistency and continuity, and CEO Scott Stauth leads ongoing operations [2]. However, the culture has been described as susceptible to 'Not-Invented-Here syndrome' — the single greatest internal risk to the AI strategy according to analysts — suggesting potential limitations on openness to external ideas and psychological safety around challenging established approaches. Display score: 6/10.</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CNRL's competitive positioning focuses on being the most effective and efficient operator, with language emphasizing cost dominance and production scale over learning from rivals' strengths [2]. The company's strong internal culture, while operationally advantageous, limits willingness to acknowledge competitors' capabilities as inspiration for improvement. The 'fast follower' AI strategy itself reflects a dominant-position mindset rather than a growth-oriented one. Display score: 3/10.</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Canadian Natural has evolved incrementally over decades — expanding from conventional oil and gas into oil sands mining and bitumen processing, entering offshore operations in the North Sea and Africa, investing $587M+ in environmental technology, and acquiring Peace River assets for $761M in Q2 2026 [1][3]. These represent competent strategic expansion but incremental extensions of the core hydrocarbon business rather than transformative reinvention. Display score: 6/10.</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CNRL has demonstrated courage through counter-cyclical capital allocation — investing in production capacity during oil price downturns when peers retrenched, maintaining dividend growth through 26 consecutive years including the 2020 oil price collapse, and returning ~$4.0B to shareholders in Q2 2026 alone while investing in the $761M Peace River acquisition [1]. Record Q2 adjusted net earnings of $4.6B validate the long-term investment approach. However, these decisions extend the existing playbook rather than representing costly strategic bets against consensus. Display score: 6/10.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Canadian Natural Resources is a premier dividend growth story in the energy sector, with 26 consecutive years of dividend increases (20% CAGR) — the longest streak among Canadian E&amp;P companies. Q2 2026 delivered record adjusted net earnings of $4.6B ($2.20/share) and record quarterly production of ~1,677,000 BOE/d (up 18% YoY), with total revenues of $10.6B [1]. The financial profile is exceptional: D/E of 44.85%, ROE of 22.82%, profit margin of 25.13%, and Forward P/E of just 12.79x with a 3.71% dividend yield. Production guidance was raised for the second time in 2026 to 1,637-1,682 MBOE/d following the $761M Peace River acquisition. Returns to shareholders in Q2 alone totaled ~$4.0B [1]. AI-driven well optimization through the Schlumberger DELFI platform enables management of thousands of wells daily, compressing operating costs across the massive production base [2]. The company is AI-immune with energy demand from AI data center buildouts providing structural tailwind.</w:t>
      </w:r>
    </w:p>
    <w:p>
      <w:pPr>
        <w:spacing w:after="120"/>
      </w:pPr>
      <w:r>
        <w:rPr>
          <w:rFonts w:ascii="Calibri" w:hAnsi="Calibri"/>
          <w:b w:val="0"/>
          <w:color w:val="3A4A28"/>
          <w:sz w:val="20"/>
        </w:rPr>
        <w:t>The primary risk is oil price dependency. Despite record Q2 2026 production and earnings, CNRL's revenue trajectory remains hostage to commodity prices that the company cannot control. The 5-year revenue CAGR of approximately -1% reflects the unwind from the 2022 commodity price peak, demonstrating that volume increases cannot fully offset commodity price declines over cycles [4]. Net debt of $14.5B at Q2 end, while declining, remains significant and constrains shareholder return capacity above the net debt threshold. The 'Not-Invented-Here' cultural syndrome identified by analysts represents a real risk as the energy transition accelerates and demands new strategic capabilities beyond operational efficiency [2]. CNRL's heavy crude and oil sands assets face long-term stranding risk if carbon pricing, regulatory changes, or accelerated electrification materially increase production costs or reduce demand for carbon-intensive crude grades. Net insider selling of CA$27M in the last 12 months, despite Edwards' long-term stake, suggests some institutional monetization at current levels.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Q2 2026 production of ~1,677,000 BOE/d with twice-raised 2026 guidance (1,637-1,682 MBOE/d), driving continued shareholder returns with ~$4.0B returned in Q2 alone and supporting the 26th consecutive year of dividend growth [1]</w:t>
      </w:r>
    </w:p>
    <w:p>
      <w:pPr>
        <w:spacing w:before="40" w:after="40"/>
        <w:ind w:left="283"/>
      </w:pPr>
      <w:r>
        <w:rPr>
          <w:rFonts w:ascii="Calibri" w:hAnsi="Calibri"/>
          <w:b/>
          <w:color w:val="4A6B25"/>
          <w:sz w:val="20"/>
        </w:rPr>
        <w:t xml:space="preserve">2. </w:t>
      </w:r>
      <w:r>
        <w:rPr>
          <w:rFonts w:ascii="Calibri" w:hAnsi="Calibri"/>
          <w:b w:val="0"/>
          <w:color w:val="3A4A28"/>
          <w:sz w:val="20"/>
        </w:rPr>
        <w:t>Free cash flow allocation framework accelerating shareholder returns as net debt declines toward thresholds that trigger increased FCF return, with $14.5B net debt at Q2 end down from higher levels [1]</w:t>
      </w:r>
    </w:p>
    <w:p>
      <w:pPr>
        <w:spacing w:before="40" w:after="40"/>
        <w:ind w:left="283"/>
      </w:pPr>
      <w:r>
        <w:rPr>
          <w:rFonts w:ascii="Calibri" w:hAnsi="Calibri"/>
          <w:b/>
          <w:color w:val="4A6B25"/>
          <w:sz w:val="20"/>
        </w:rPr>
        <w:t xml:space="preserve">3. </w:t>
      </w:r>
      <w:r>
        <w:rPr>
          <w:rFonts w:ascii="Calibri" w:hAnsi="Calibri"/>
          <w:b w:val="0"/>
          <w:color w:val="3A4A28"/>
          <w:sz w:val="20"/>
        </w:rPr>
        <w:t>AI-driven operational efficiency gains through the Schlumberger DELFI platform compressing per-barrel operating costs and expanding margins across the record 1.677M BOE/d production base, with CNRL's vast asset base serving as a 'proprietary data factory'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Oil price dependency: despite record Q2 production and earnings, the 5-year revenue CAGR of ~-1% from the 2022 peak demonstrates how commodity price cycles can overwhelm volume gains across the entire portfolio [1]</w:t>
      </w:r>
    </w:p>
    <w:p>
      <w:pPr>
        <w:spacing w:before="40" w:after="40"/>
        <w:ind w:left="283"/>
      </w:pPr>
      <w:r>
        <w:rPr>
          <w:rFonts w:ascii="Calibri" w:hAnsi="Calibri"/>
          <w:b/>
          <w:color w:val="4A6B25"/>
          <w:sz w:val="20"/>
        </w:rPr>
        <w:t xml:space="preserve">2. </w:t>
      </w:r>
      <w:r>
        <w:rPr>
          <w:rFonts w:ascii="Calibri" w:hAnsi="Calibri"/>
          <w:b w:val="0"/>
          <w:color w:val="3A4A28"/>
          <w:sz w:val="20"/>
        </w:rPr>
        <w:t>Long-term asset stranding risk for heavy crude and oil sands operations if carbon pricing, regulatory changes, or energy transition policies materially increase production costs or reduce demand for carbon-intensive crude grades [3]</w:t>
      </w:r>
    </w:p>
    <w:p>
      <w:pPr>
        <w:spacing w:before="40" w:after="40"/>
        <w:ind w:left="283"/>
      </w:pPr>
      <w:r>
        <w:rPr>
          <w:rFonts w:ascii="Calibri" w:hAnsi="Calibri"/>
          <w:b/>
          <w:color w:val="4A6B25"/>
          <w:sz w:val="20"/>
        </w:rPr>
        <w:t xml:space="preserve">3. </w:t>
      </w:r>
      <w:r>
        <w:rPr>
          <w:rFonts w:ascii="Calibri" w:hAnsi="Calibri"/>
          <w:b w:val="0"/>
          <w:color w:val="3A4A28"/>
          <w:sz w:val="20"/>
        </w:rPr>
        <w:t>Cultural 'Not-Invented-Here' syndrome identified by analysts as the single greatest internal risk to CNRL's AI and technology strategy, potentially limiting adaptability as the energy transition reshapes the global energy industry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Canadian Natural's core business — extracting, processing, and transporting crude oil and natural gas — involves massive physical-world infrastructure, complex geological operations, and heavy machinery that AI structurally cannot substitute [2]. Oil sands mining, bitumen processing, and pipeline operations require physical assets and specialized human expertise that are immune to AI displacement. AI data center buildouts are actually driving increased demand for reliable energy, creating upside for hydrocarbon producers [2]. The company scores 8 rather than 9 because AI-optimized commodity trading could theoretically affect price discovery dynamics, though this is market-wide rather than company-specific. AI Opportunity (1/1): CNRL is actively deploying AI across operations — engineers optimize thousands of wells daily using AI where they previously handled ~12, through the Schlumberger DELFI cognitive platform and digital twin technology [2]. These deployments generate quantifiable operational cost savings across the massive 1.677M BOE/d production base. The company's vast asset base serves as a 'proprietary data factory' for AI-driven efficiency.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Canadian Natural Resources Q2 2026 Results — Record Adjusted Net Earnings $4.6B, Record Production ~1,677,000 BOE/d, Revenue $10.6B, Peace River Acquisition $761M — GlobeNewswire, Newsfilecorp, August 2026</w:t>
      </w:r>
    </w:p>
    <w:p>
      <w:pPr>
        <w:spacing w:before="20" w:after="20"/>
        <w:ind w:left="170"/>
      </w:pPr>
      <w:r>
        <w:rPr>
          <w:rFonts w:ascii="Calibri" w:hAnsi="Calibri"/>
          <w:b/>
          <w:color w:val="4A6B25"/>
          <w:sz w:val="15"/>
        </w:rPr>
        <w:t xml:space="preserve">2. </w:t>
      </w:r>
      <w:r>
        <w:rPr>
          <w:rFonts w:ascii="Calibri" w:hAnsi="Calibri"/>
          <w:b w:val="0"/>
          <w:color w:val="3A4A28"/>
          <w:sz w:val="17"/>
        </w:rPr>
        <w:t>Canadian Natural Resources AI Strategy and Operational Technology — Schlumberger DELFI Enterprise Deployment, Digital Twin, 'Proprietary Data Factory' Advantage, NIH Cultural Risk — Klover AI, AI Magazine, 2025-2026</w:t>
      </w:r>
    </w:p>
    <w:p>
      <w:pPr>
        <w:spacing w:before="20" w:after="20"/>
        <w:ind w:left="170"/>
      </w:pPr>
      <w:r>
        <w:rPr>
          <w:rFonts w:ascii="Calibri" w:hAnsi="Calibri"/>
          <w:b/>
          <w:color w:val="4A6B25"/>
          <w:sz w:val="15"/>
        </w:rPr>
        <w:t xml:space="preserve">3. </w:t>
      </w:r>
      <w:r>
        <w:rPr>
          <w:rFonts w:ascii="Calibri" w:hAnsi="Calibri"/>
          <w:b w:val="0"/>
          <w:color w:val="3A4A28"/>
          <w:sz w:val="17"/>
        </w:rPr>
        <w:t>Canadian Natural Resources ESG and Community — Stewardship Reports Since 2004, 167 Indigenous Businesses, $684M Indigenous Contracts, 40% GHG Reduction Target by 2035 — cnrl.com, SEC Filings,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GuruFocus, Yahoo Finance — CNQ Key Statistics: Forward P/E 12.79, D/E 44.85%, ROE 22.82%, Profit Margin 25.13%, Dividend Yield 3.71%, Stock Price $47.97,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