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CNTX</w:t>
      </w:r>
      <w:r>
        <w:rPr>
          <w:rFonts w:ascii="Calibri" w:hAnsi="Calibri"/>
          <w:b/>
          <w:color w:val="1A2010"/>
          <w:sz w:val="40"/>
        </w:rPr>
        <w:t xml:space="preserve">  Context Therapeutics Inc.</w:t>
      </w:r>
    </w:p>
    <w:p>
      <w:pPr>
        <w:spacing w:after="120"/>
      </w:pPr>
      <w:r>
        <w:rPr>
          <w:rFonts w:ascii="Calibri" w:hAnsi="Calibri"/>
          <w:b/>
          <w:color w:val="6E8450"/>
          <w:sz w:val="18"/>
        </w:rPr>
        <w:t>GROWTH SLEEVE · 2026-07-27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Context Therapeutics is a clinical-stage biopharmaceutical company focused on developing next-generation T-cell engaging (TCE) bispecific antibody therapies for solid tumors. The pipeline includes CTIM-76 (Claudin-6 x CD3) for ovarian, endometrial, and testicular cancers, CT-95 (Mesothelin x CD3) for multiple solid tumors, and CT-202 (Nectin-4 x CD3) targeting first-in-human dosing in Q3 2026. Founded in 2015, headquartered in Philadelphia, PA. Added to Russell 2000 and Russell 3000 indexes.</w:t>
      </w:r>
    </w:p>
    <w:p>
      <w:r>
        <w:rPr>
          <w:rFonts w:ascii="Calibri" w:hAnsi="Calibri"/>
          <w:b/>
          <w:color w:val="6E8450"/>
          <w:sz w:val="18"/>
        </w:rPr>
        <w:t>15 Employees · https://www.contexttherapeutics.com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Context Therapeutics has advanced from a single-asset company focused on hormone-dependent cancers (onapristone program) to a three-program clinical-stage TCE bispecific antibody platform since its 2015 founding [2]. Q1 2026 net loss widened to $8.7M from $4.6M as the company accelerated clinical investment, indicating the programs are advancing but the company remains pre-revenue with no marketed products [1]. AI Deployment (0/2): No AI deployment or AI-driven drug discovery tools reported in any public materials. Clinical development follows traditional biopharmaceutical approaches without AI integration [2]. Market Share (0/2): Pre-revenue clinical-stage company with no market share in any therapeutic category. The TCE bispecific antibody space is fiercely competitive with Amgen (BiTE platform), Roche, and multiple well-capitalized biotechs pursuing similar targets [2]. Pipeline (2/2): Three clinical candidates with specific 2026 milestones: CTIM-76 Phase 1a interim data expected June 2026 (safety, efficacy, correlative results), CT-95 Phase 1a data expected September 2026, and CT-202 first-in-human initiation anticipated Q3 2026 [1]. Clear pipeline visibility with defined catalysts. R&amp;D Intensity (1/1): Essentially 100% of expenditure goes to R&amp;D for this pre-revenue clinical-stage company. Q1 2026 net loss of $8.7M (up 89% YoY) reflects aggressive investment in advancing all three programs simultaneously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Context Therapeutics' mission to 'change the world for patients with advanced cancer through bold and innovative science' is clear and specific, identifying both the approach (TCE bispecifics) and the target population (solid tumor patients) [2]. CEO Martin Lehr co-founded the company and is described as understated, 'letting his actions tell the story of his character,' suggesting authenticity. However, the mission reads as a standard biotech objective rather than a transformative vision that shapes competitive advantage. Community Impact (0/2): No evidence of charitable programs, foundation, or community investment was identified for this 15-person pre-revenue company focused entirely on clinical development [1]. Employee Retention (0/2): With only 15 employees, no retention data, turnover rates, or cultural practices were publicly disclosed. The company is too small to generate meaningful retention statistics [2]. Insider Buying (0/2): No evidence of meaningful net insider buying by CEO Martin Lehr or other executives in the past 12 months. Blue Owl Capital acquired 946,638 shares (institutional, not insider buying). The company has funded operations through equity offerings, creating dilution rather than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Context Therapeutics is a pre-revenue clinical-stage biotech burning approximately $32.8M annually with $54.5M cash as of March 31, 2026, providing runway into mid-2027 [1]. D/E of just 0.5% (total debt $282K against equity of $60.5M) reflects a clean balance sheet scoring 1.0 on this metric. However, ROE of approximately -66.5% (-$40.23M net loss / $60.5M equity) scores 0.0, reflecting the fundamental reality of capital-consumptive pre-revenue drug development [1]. No revenue, no profit margin, no forward P/E, and no PEG ratio exist for a pre-commercial biotech. Mechanical calculation on available metrics: D/E 1.0 (1x) + ROE 0.0 (2x) = 1.0/3 x 10 = 3. Liquidity floor cleared: 2.09M avg volume x $0.61 = $1.28M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Context Therapeutics is a young, pre-revenue clinical-stage company whose existence is fundamentally tied to binary clinical trial outcomes. If CTIM-76 or CT-95 data reads out positively, the company transforms; if not, it faces existential questions about cash runway and viability. This is the structural reality of clinical-stage biotech — a finite game of drug development milestones with specific endpoints rather than an enduring organizational purpose. Sinek would note the company has not yet had the opportunity or the test to demonstrate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Fighting cancer through novel immunotherapy approaches is a genuine and important cause, and Context's mission to 'change the world for patients with advanced cancer' is sincere [2]. However, the company has not yet validated this purpose through execution — no product has been approved, no patient has been treated outside clinical trials, and the mission has not been tested through adversity or leadership transition. The 15-person team is too young and small to have proven that purpose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15 employees, no public data on employee satisfaction, turnover, or organizational culture was found [2]. The widening Q1 2026 net loss ($8.7M vs $4.6M) and rapid cash burn suggest the team is under resource pressure. StockAnalysis reports only 15 employees — far fewer than the 50 previously reported — which may reflect organizational changes. No evidence of exceptional cultural practices or employee empowerment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improvement. The TCE bispecific space includes formidable rivals — Amgen's BiTE platform, Roche's bispecifics, and multiple well-funded biotechs pursuing Claudin-6 and Mesothelin targets — but Context's competitive positioning focuses on its own differentiated molecules rather than learning from worthy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Context Therapeutics pivoted from its original focus on hormone-dependent cancers (the onapristone/Sigma1 inhibitor program) to a next-generation TCE bispecific antibody platform, fundamentally redefining the company's scientific approach, pipeline, and target patient populations [2]. This required abandoning earlier programs to pursue a more promising modality in T-cell engagement. The pivot was meaningful and driven by scientific opportunity, though also by the necessity to find a more viable path.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accelerated R&amp;D spending with Q1 2026 net loss widening 89% to $8.7M while simultaneously advancing three clinical programs on a finite cash runway to mid-2027 — a bold resource allocation for a company with 15 employees and no revenue [1]. The decision to pursue three TCE targets in parallel rather than concentrating on a single lead program shows confidence and ambition but also accepts the risk of stretching limited resources across multiple shots on goal.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Context Therapeutics offers high-risk, high-reward exposure to the rapidly expanding TCE bispecific antibody space for solid tumors. The company has three clinical programs with defined 2026 catalysts: CTIM-76 Phase 1a interim data in June, CT-95 interim data in September, and CT-202 first patient dosing in Q3 [1]. With $54.5M cash providing runway into mid-2027, the company is funded through all three readouts. At $56M market cap and $0.61/share — down 73% from early 2026 levels — positive clinical data could drive significant revaluation. Analyst consensus Strong Buy with $5.38 target (776% upside) reflects the transformative potential of validating a TCE platform in hard-to-treat solid tumors [3]. Addition to Russell 2000/3000 indexes provides passive fund demand [3].</w:t>
      </w:r>
    </w:p>
    <w:p>
      <w:pPr>
        <w:spacing w:after="120"/>
      </w:pPr>
      <w:r>
        <w:rPr>
          <w:rFonts w:ascii="Calibri" w:hAnsi="Calibri"/>
          <w:b w:val="0"/>
          <w:color w:val="3A4A28"/>
          <w:sz w:val="20"/>
        </w:rPr>
        <w:t>The bear case is the fundamental reality of pre-revenue clinical-stage biotech: binary risk with asymmetric downside. Context burned $32.8M in the trailing twelve months with zero revenue and no path to profitability until at least 2029-2030 at the earliest [1]. The $54.5M cash position provides only 20 months of runway — a negative Phase 1a readout for CTIM-76 or CT-95 could collapse the share price and force severely dilutive fundraising or threaten viability. The stock's 73% decline from $2.26 to $0.61 since early 2026 reflects the market's growing skepticism about timeline and execution. The TCE bispecific space is fiercely competitive, with Amgen, Roche, and well-capitalized biotechs pursuing similar Claudin-6, Mesothelin, and Nectin-4 targets with vastly greater resources, manufacturing scale, and clinical infrastructure [2]. At $0.61/share, the stock trades as a speculative option on clinical data, not an investment in a functioning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CTIM-76 Phase 1a interim data expected June 2026 — positive Claudin-6 x CD3 efficacy and safety data in ovarian/endometrial cancers could validate the TCE platform and drive significant revaluation from the $56M market cap [1]</w:t>
      </w:r>
    </w:p>
    <w:p>
      <w:pPr>
        <w:spacing w:before="40" w:after="40"/>
        <w:ind w:left="283"/>
      </w:pPr>
      <w:r>
        <w:rPr>
          <w:rFonts w:ascii="Calibri" w:hAnsi="Calibri"/>
          <w:b/>
          <w:color w:val="4A6B25"/>
          <w:sz w:val="20"/>
        </w:rPr>
        <w:t xml:space="preserve">2. </w:t>
      </w:r>
      <w:r>
        <w:rPr>
          <w:rFonts w:ascii="Calibri" w:hAnsi="Calibri"/>
          <w:b w:val="0"/>
          <w:color w:val="3A4A28"/>
          <w:sz w:val="20"/>
        </w:rPr>
        <w:t>CT-95 Phase 1a interim data expected September 2026 — Mesothelin x CD3 data across multiple solid tumors provides a second de-risking event within the same year [1]</w:t>
      </w:r>
    </w:p>
    <w:p>
      <w:pPr>
        <w:spacing w:before="40" w:after="40"/>
        <w:ind w:left="283"/>
      </w:pPr>
      <w:r>
        <w:rPr>
          <w:rFonts w:ascii="Calibri" w:hAnsi="Calibri"/>
          <w:b/>
          <w:color w:val="4A6B25"/>
          <w:sz w:val="20"/>
        </w:rPr>
        <w:t xml:space="preserve">3. </w:t>
      </w:r>
      <w:r>
        <w:rPr>
          <w:rFonts w:ascii="Calibri" w:hAnsi="Calibri"/>
          <w:b w:val="0"/>
          <w:color w:val="3A4A28"/>
          <w:sz w:val="20"/>
        </w:rPr>
        <w:t>CT-202 first-in-human dosing expected Q3 2026 — advancing the third pipeline program (Nectin-4 x CD3) into clinic demonstrates execution capability and platform breadth with potential partnering interest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negative Phase 1a data for CTIM-76 or CT-95 would likely devastate the stock given zero revenue, $0.61/share price, and entire valuation resting on pipeline potential in a competitive space [1]</w:t>
      </w:r>
    </w:p>
    <w:p>
      <w:pPr>
        <w:spacing w:before="40" w:after="40"/>
        <w:ind w:left="283"/>
      </w:pPr>
      <w:r>
        <w:rPr>
          <w:rFonts w:ascii="Calibri" w:hAnsi="Calibri"/>
          <w:b/>
          <w:color w:val="4A6B25"/>
          <w:sz w:val="20"/>
        </w:rPr>
        <w:t xml:space="preserve">2. </w:t>
      </w:r>
      <w:r>
        <w:rPr>
          <w:rFonts w:ascii="Calibri" w:hAnsi="Calibri"/>
          <w:b w:val="0"/>
          <w:color w:val="3A4A28"/>
          <w:sz w:val="20"/>
        </w:rPr>
        <w:t>Cash runway to mid-2027 creates dilution or survival risk — the company will need to raise capital through equity offerings before reaching registrational trials, at potentially depressed prices given the 73% YTD decline [1]</w:t>
      </w:r>
    </w:p>
    <w:p>
      <w:pPr>
        <w:spacing w:before="40" w:after="40"/>
        <w:ind w:left="283"/>
      </w:pPr>
      <w:r>
        <w:rPr>
          <w:rFonts w:ascii="Calibri" w:hAnsi="Calibri"/>
          <w:b/>
          <w:color w:val="4A6B25"/>
          <w:sz w:val="20"/>
        </w:rPr>
        <w:t xml:space="preserve">3. </w:t>
      </w:r>
      <w:r>
        <w:rPr>
          <w:rFonts w:ascii="Calibri" w:hAnsi="Calibri"/>
          <w:b w:val="0"/>
          <w:color w:val="3A4A28"/>
          <w:sz w:val="20"/>
        </w:rPr>
        <w:t>Intense TCE bispecific competition — Amgen (BiTE platform), Roche, and multiple well-funded biotechs pursue similar Claudin-6, Mesothelin, and Nectin-4 targets with greater resources, manufacturing capability, and clinical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for solid tumors involves complex biological processes — protein engineering, clinical trial design, FDA regulatory pathways, manufacturing of biological therapeutics, and patient-specific immune responses — that AI cannot replace [2]. The physical reality of treating cancer patients through bispecific antibody infusions requires clinical infrastructure, GMP manufacturing, and regulatory expertise immune to AI substitution. However, AI-driven drug discovery platforms (Recursion, Insilico Medicine) are accelerating competitor pipelines by identifying novel targets and optimizing molecules faster. Larger pharma companies deploying AI for clinical trial optimization could reach similar Claudin-6, Mesothelin, or Nectin-4 targets more efficiently, eroding Context's competitive window [2]. AI Opportunity (0/1): No AI revenue or AI-powered drug discovery tools deployed. The company uses traditional biopharmaceutical development approaches without reported AI integration in target identification, molecule optimization, or trial design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Context Therapeutics Q1 2026 Operating and Financial Results — $8.7M net loss, $54.5M cash, pipeline milestones, GlobeNewswire May 6, 2026</w:t>
      </w:r>
    </w:p>
    <w:p>
      <w:pPr>
        <w:spacing w:before="20" w:after="20"/>
        <w:ind w:left="170"/>
      </w:pPr>
      <w:r>
        <w:rPr>
          <w:rFonts w:ascii="Calibri" w:hAnsi="Calibri"/>
          <w:b/>
          <w:color w:val="4A6B25"/>
          <w:sz w:val="15"/>
        </w:rPr>
        <w:t xml:space="preserve">2. </w:t>
      </w:r>
      <w:r>
        <w:rPr>
          <w:rFonts w:ascii="Calibri" w:hAnsi="Calibri"/>
          <w:b w:val="0"/>
          <w:color w:val="3A4A28"/>
          <w:sz w:val="17"/>
        </w:rPr>
        <w:t>Context Therapeutics corporate website — management team, CEO Martin Lehr, pipeline descriptions, mission statement,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CNTX key statistics, $0.6141 price, $56M market cap, analyst targets, Russell 2000 addition,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SEC filings — CNTX balance sheet, cash burn, D/E ratio, institutional ownership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