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CODI</w:t>
      </w:r>
      <w:r>
        <w:rPr>
          <w:rFonts w:ascii="Calibri" w:hAnsi="Calibri"/>
          <w:b/>
          <w:color w:val="1A2010"/>
          <w:sz w:val="40"/>
        </w:rPr>
        <w:t xml:space="preserve">  Compass Diversified Holdings</w:t>
      </w:r>
    </w:p>
    <w:p>
      <w:pPr>
        <w:spacing w:after="120"/>
      </w:pPr>
      <w:r>
        <w:rPr>
          <w:rFonts w:ascii="Calibri" w:hAnsi="Calibri"/>
          <w:b/>
          <w:color w:val="6E8450"/>
          <w:sz w:val="18"/>
        </w:rPr>
        <w:t>GROWTH SLEEVE · 2026-08-02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Conglomerates · NYSE · United States</w:t>
      </w:r>
    </w:p>
    <w:p>
      <w:pPr>
        <w:spacing w:after="80"/>
      </w:pPr>
      <w:r>
        <w:rPr>
          <w:rFonts w:ascii="Calibri" w:hAnsi="Calibri"/>
          <w:b w:val="0"/>
          <w:color w:val="3A4A28"/>
          <w:sz w:val="20"/>
        </w:rPr>
        <w:t>Compass Diversified Holdings is a diversified holding company that acquires and manages leading middle-market businesses across consumer and industrial end markets. Current portfolio includes 5.11 Tactical (tactical apparel/gear), BOA Technology (dial-closure fit systems), Marucci Sports (baseball equipment), PrimaLoft (synthetic insulation), Arnold Magnetics (specialty magnets), The Honey Pot Company (feminine care), and Ergobaby (baby carriers). The company faced a major accounting scandal at subsidiary Lugano Holdings in 2025, leading to financial restatements, dividend suspension, and a class-action lawsuit. Founded in 1998, headquartered in Westport, Connecticut.</w:t>
      </w:r>
    </w:p>
    <w:p>
      <w:r>
        <w:rPr>
          <w:rFonts w:ascii="Calibri" w:hAnsi="Calibri"/>
          <w:b/>
          <w:color w:val="6E8450"/>
          <w:sz w:val="18"/>
        </w:rPr>
        <w:t>4,069 Employees · https://www.compassdiversified.com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CODI's acquisition model has built several niche brands over 28 years, but the Lugano Holdings acquisition in 2021 resulted in a catastrophic $375M+ inventory fraud requiring financial restatements for FY2022-2024 and a $20.5M goodwill impairment at PrimaLoft in Q1 2026 [1][4]. No transformative business model pivot — the acquire-and-hold strategy remains unchanged. AI Deployment (0/2): No evidence of AI-powered products or quantified AI-driven cost savings across any portfolio company [2]. Market Share (1/2): BOA Technology is the dominant player in dial-closure fit systems used by 400+ brands globally; 5.11 Tactical holds strong positioning in tactical/law enforcement apparel; Marucci is the #1 wood bat in MLB [2]. These are niche leadership positions, not market-defining dominance. Product Pipeline (0/2): No visible next-generation product pipeline discussed at the holding company level; subsidiary innovation is incremental with no named products or launch dates. R&amp;D Intensity (0/1): As a holding company, consolidated R&amp;D intensity is below peers; subsidiaries like BOA and PrimaLoft invest in product development but no standout spending reported.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CODI's stated purpose — acquiring and managing leading middle-market businesses to generate attractive risk-adjusted returns — is a generic holding company financial objective interchangeable with any PE firm [2]. No articulated vision of a better future beyond capital allocation. Community Impact (0/2): No evidence of significant charitable programs, foundation activity, or community investment at the holding company level beyond standard corporate responsibility. Employee Retention (0/2): Glassdoor rating of 3.5/5 with only 64% recommending the company; no data on average employee tenure or voluntary turnover rates [3]. New CEO appointments at Arnold Magnetics and PrimaLoft in 2026 signal subsidiary-level leadership churn [3]. Insider Buying (0/2): No evidence of meaningful net insider buying by CEO Elias Sabo or other executives in the last 12 months; ADW Capital's 19.3% activist stake represents external pressure, not management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CODI's balance sheet is severely stressed: D/E of 383% exceeds the 300% floor (scoring 0), driven by $2.03B in total debt against depleted equity after Lugano write-downs [3][4]. ROE of -53.2% and profit margin of -12.3% reflect $272.7M in net losses from goodwill impairments and restatement charges [1]. Forward P/E of 32x partially scores (0.70) as the company is expected to return to profitability. FY2025 revenue growth of 4.8% provides a modest positive contribution (0.83), though this predates the Sterno divestiture which will reduce the revenue base [1][2]. Revenue 5yr CAGR of approximately 2.2% scores 0.48 on a 2x-weighted growth metric. The company used Sterno sale proceeds to repay $280M of debt, cutting leverage to ~5x, but the Altman Z-Score of 0.43 signals ongoing financial distress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Compass Diversified operates with a fundamentally financial orientation — the company exists to acquire businesses, generate returns, and distribute cash to shareholders. The Lugano accounting scandal exposed governance weaknesses, the dividend suspension prioritized survival over shareholder commitments, and the ADW Capital activist campaign for a strategic review reflects a company under external pressure rather than one playing to endure. The 28-year operating history provides some continuity, but purpose-driven decision-making is absent.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CODI articulates a mission of 'acquiring and managing leading middle-market businesses' — a strategy statement interchangeable with dozens of PE firms and holding companies [2]. CEO Elias Sabo's 28-year tenure since co-founding demonstrates personal commitment, but the purpose is capital allocation and returns, not a vision of a better future. The Lugano scandal — acquiring a business with fraudulent accounting — undermines any claim that acquisitions are mission-driven [4][6].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CODI's decentralized model — letting subsidiary management teams run their businesses with holding company oversight — suggests some organizational trust [2]. Glassdoor rating of 3.5/5 (64% recommend) is below average, and new CEO appointments at Arnold Magnetics and PrimaLoft in 2026 signal subsidiary-level leadership instability [3]. The Lugano scandal exposed a fundamental failure of internal controls and oversight, but the broader portfolio subsidiaries appear to operate with reasonable autonomy.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CODI's competitive language focuses on 'acquiring businesses with significant market share in defensible industry niches' — a finite acquisitive mindset centered on market positioning rather than self-improvement [2]. No evidence of management acknowledging competitors' strengths (Roper, Danaher, TransDigm) or using competitive dynamics to improve the holding company model. The ADW Capital activist campaign is treated as a threat rather than constructive challenge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CODI has demonstrated portfolio flexibility — divesting Sterno food service to focus on higher-growth consumer brands (Honey Pot, BOA), rotating capital from mature to growth businesses, and adapting portfolio composition over 28 years [1][2]. However, these are standard portfolio management moves, not transformative reinvention driven by a Just Cause. The holding company model inherently provides flexibility, but it is reactive rather than visionary.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made painful but necessary decisions in 2025-2026: suspending the dividend to preserve cash, divesting Sterno and using $280M in proceeds to deleverage, and booking the PrimaLoft goodwill impairment rather than concealing deterioration [1][2]. These are pragmatic survival decisions rather than visionary courage, but they demonstrate willingness to sacrifice near-term shareholder returns for long-term viability. The failure to prevent the Lugano fraud undermines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Diversified owns a portfolio of niche-leading middle-market consumer and industrial brands — BOA (dial-closure lacing, 400+ brand partners), 5.11 Tactical (law enforcement/tactical apparel), and Marucci (#1 wood bat in MLB) [2]. Q1 2026 subsidiary adjusted EBITDA grew 6.3% to $83.9M, demonstrating underlying business health despite holding-company-level distress [1]. The Sterno divestiture and $280M debt repayment reduced leverage to ~5x, and management's raised 2026 EBITDA guidance of $320-365M signals confidence in the remaining portfolio. At 0.41x revenue and 1.43x book value, the stock offers deep value if the Lugano overhang clears and the company executes on deleveraging and portfolio simplification.</w:t>
      </w:r>
    </w:p>
    <w:p>
      <w:pPr>
        <w:spacing w:after="120"/>
      </w:pPr>
      <w:r>
        <w:rPr>
          <w:rFonts w:ascii="Calibri" w:hAnsi="Calibri"/>
          <w:b w:val="0"/>
          <w:color w:val="3A4A28"/>
          <w:sz w:val="20"/>
        </w:rPr>
        <w:t>The bear case is substantial: the Lugano accounting scandal destroyed investor credibility, triggering a class-action lawsuit, dividend suspension, and significant stock price erosion [4][6]. Debt-to-equity of 383% and an Altman Z-Score of 0.43 signal genuine financial distress, though divestitures are addressing leverage [3]. Negative ROE of -53% and -12.3% profit margin reflect real economic losses, not just accounting adjustments. ADW Capital's 19.3% stake and public demand for a strategic review suggest the current operating model may be unsustainable — the activist is pushing for asset sales or a full breakup, creating execution uncertainty [5]. The dividend suspension removes a key reason income investors owned the stock, and rebuilding trust will take years. PFAS regulatory exposure across portfolio companies adds further downside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resolution of the Lugano class-action lawsuit and completion of financial restatements, removing the governance overhang and enabling potential dividend reinstatement</w:t>
      </w:r>
    </w:p>
    <w:p>
      <w:pPr>
        <w:spacing w:before="40" w:after="40"/>
        <w:ind w:left="283"/>
      </w:pPr>
      <w:r>
        <w:rPr>
          <w:rFonts w:ascii="Calibri" w:hAnsi="Calibri"/>
          <w:b/>
          <w:color w:val="4A6B25"/>
          <w:sz w:val="20"/>
        </w:rPr>
        <w:t xml:space="preserve">2. </w:t>
      </w:r>
      <w:r>
        <w:rPr>
          <w:rFonts w:ascii="Calibri" w:hAnsi="Calibri"/>
          <w:b w:val="0"/>
          <w:color w:val="3A4A28"/>
          <w:sz w:val="20"/>
        </w:rPr>
        <w:t>Continued deleveraging from additional portfolio divestitures, with potential to reduce D/E below 200% and restore investment-grade credit metrics by 2027</w:t>
      </w:r>
    </w:p>
    <w:p>
      <w:pPr>
        <w:spacing w:before="40" w:after="40"/>
        <w:ind w:left="283"/>
      </w:pPr>
      <w:r>
        <w:rPr>
          <w:rFonts w:ascii="Calibri" w:hAnsi="Calibri"/>
          <w:b/>
          <w:color w:val="4A6B25"/>
          <w:sz w:val="20"/>
        </w:rPr>
        <w:t xml:space="preserve">3. </w:t>
      </w:r>
      <w:r>
        <w:rPr>
          <w:rFonts w:ascii="Calibri" w:hAnsi="Calibri"/>
          <w:b w:val="0"/>
          <w:color w:val="3A4A28"/>
          <w:sz w:val="20"/>
        </w:rPr>
        <w:t>Consumer brand momentum from The Honey Pot and BOA Technology driving portfolio EBITDA above the $365M high end of 2026 guidance, validating the post-Lugano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Altman Z-Score of 0.43 and D/E of 383% indicate genuine bankruptcy risk if operating performance deteriorates or credit markets tighten, potentially forcing distressed asset sales</w:t>
      </w:r>
    </w:p>
    <w:p>
      <w:pPr>
        <w:spacing w:before="40" w:after="40"/>
        <w:ind w:left="283"/>
      </w:pPr>
      <w:r>
        <w:rPr>
          <w:rFonts w:ascii="Calibri" w:hAnsi="Calibri"/>
          <w:b/>
          <w:color w:val="4A6B25"/>
          <w:sz w:val="20"/>
        </w:rPr>
        <w:t xml:space="preserve">2. </w:t>
      </w:r>
      <w:r>
        <w:rPr>
          <w:rFonts w:ascii="Calibri" w:hAnsi="Calibri"/>
          <w:b w:val="0"/>
          <w:color w:val="3A4A28"/>
          <w:sz w:val="20"/>
        </w:rPr>
        <w:t>ADW Capital's 19.3% activist stake and public demand for strategic review could force management change or portfolio breakup, creating operational disruption during a critical recovery period</w:t>
      </w:r>
    </w:p>
    <w:p>
      <w:pPr>
        <w:spacing w:before="40" w:after="40"/>
        <w:ind w:left="283"/>
      </w:pPr>
      <w:r>
        <w:rPr>
          <w:rFonts w:ascii="Calibri" w:hAnsi="Calibri"/>
          <w:b/>
          <w:color w:val="4A6B25"/>
          <w:sz w:val="20"/>
        </w:rPr>
        <w:t xml:space="preserve">3. </w:t>
      </w:r>
      <w:r>
        <w:rPr>
          <w:rFonts w:ascii="Calibri" w:hAnsi="Calibri"/>
          <w:b w:val="0"/>
          <w:color w:val="3A4A28"/>
          <w:sz w:val="20"/>
        </w:rPr>
        <w:t>PFAS regulatory exposure across portfolio companies (PrimaLoft, potentially 5.11 Tactical) could generate remediation costs and product reformulation requirements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CODI's entire portfolio consists of physical product businesses — tactical apparel (5.11), mechanical lacing systems (BOA), baseball equipment (Marucci), synthetic insulation materials (PrimaLoft), specialty magnets (Arnold), feminine care products (Honey Pot), and baby carriers (Ergobaby) [2]. AI structurally cannot substitute for manufacturing baseball bats, producing insulation materials, or machining specialty magnets. These businesses involve physical-world operations, materials science, and tangible product manufacturing that are immune to AI displacement. AI may modestly improve supply chain and marketing efficiency within these businesses but creates zero substitution risk for any core revenue stream. AI Opportunity (0/1): No portfolio company generates quantifiable AI-related revenue; AI is neither a product offering nor a meaningful operational tool across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Diversified Q1 2026 Earnings Release — $426.9M revenue, $83.9M subsidiary adjusted EBITDA (up 6.3%), $20.5M PrimaLoft impairment, StockTitan/SEC, May 2026</w:t>
      </w:r>
    </w:p>
    <w:p>
      <w:pPr>
        <w:spacing w:before="20" w:after="20"/>
        <w:ind w:left="170"/>
      </w:pPr>
      <w:r>
        <w:rPr>
          <w:rFonts w:ascii="Calibri" w:hAnsi="Calibri"/>
          <w:b/>
          <w:color w:val="4A6B25"/>
          <w:sz w:val="15"/>
        </w:rPr>
        <w:t xml:space="preserve">2. </w:t>
      </w:r>
      <w:r>
        <w:rPr>
          <w:rFonts w:ascii="Calibri" w:hAnsi="Calibri"/>
          <w:b w:val="0"/>
          <w:color w:val="3A4A28"/>
          <w:sz w:val="17"/>
        </w:rPr>
        <w:t>Compass Diversified 2025 Full-Year Results — $1.9B revenue (up 4.8%), $345.8M subsidiary EBITDA, Sterno divestiture for $280M+ debt repayment, Press Release, March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CODI Key Statistics: $10.08 price, $758M market cap, 383% D/E, -53.2% ROE, 602K avg volume,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Compass Diversified Lugano Restatement and Analyst Reassessment — B. Riley PT cut to $8, CJS upgrade, Yahoo Finance, July 2026</w:t>
      </w:r>
    </w:p>
    <w:p>
      <w:pPr>
        <w:spacing w:before="20" w:after="20"/>
        <w:ind w:left="170"/>
      </w:pPr>
      <w:r>
        <w:rPr>
          <w:rFonts w:ascii="Calibri" w:hAnsi="Calibri"/>
          <w:b/>
          <w:color w:val="4A6B25"/>
          <w:sz w:val="15"/>
        </w:rPr>
        <w:t xml:space="preserve">5. </w:t>
      </w:r>
      <w:r>
        <w:rPr>
          <w:rFonts w:ascii="Calibri" w:hAnsi="Calibri"/>
          <w:b w:val="0"/>
          <w:color w:val="3A4A28"/>
          <w:sz w:val="17"/>
        </w:rPr>
        <w:t>ADW Capital Management (19.3% stake) Strategic Review Letter to CODI Board — GuruFocus, July 16, 2026</w:t>
      </w:r>
    </w:p>
    <w:p>
      <w:pPr>
        <w:spacing w:before="20" w:after="20"/>
        <w:ind w:left="170"/>
      </w:pPr>
      <w:r>
        <w:rPr>
          <w:rFonts w:ascii="Calibri" w:hAnsi="Calibri"/>
          <w:b/>
          <w:color w:val="4A6B25"/>
          <w:sz w:val="15"/>
        </w:rPr>
        <w:t xml:space="preserve">6. </w:t>
      </w:r>
      <w:r>
        <w:rPr>
          <w:rFonts w:ascii="Calibri" w:hAnsi="Calibri"/>
          <w:b w:val="0"/>
          <w:color w:val="3A4A28"/>
          <w:sz w:val="17"/>
        </w:rPr>
        <w:t>Hagens Berman Compass Diversified Financial Irregularities and Class-Action Lawsuit Report — AccessNewsWire, May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