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COTY</w:t>
      </w:r>
      <w:r>
        <w:rPr>
          <w:rFonts w:ascii="Calibri" w:hAnsi="Calibri"/>
          <w:b/>
          <w:color w:val="1A2010"/>
          <w:sz w:val="40"/>
        </w:rPr>
        <w:t xml:space="preserve">  Coty Inc.</w:t>
      </w:r>
    </w:p>
    <w:p>
      <w:pPr>
        <w:spacing w:after="120"/>
      </w:pPr>
      <w:r>
        <w:rPr>
          <w:rFonts w:ascii="Calibri" w:hAnsi="Calibri"/>
          <w:b/>
          <w:color w:val="6E8450"/>
          <w:sz w:val="18"/>
        </w:rPr>
        <w:t>GROWTH SLEEVE · 2026-08-22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Staples · Personal Products · NYSE · United States</w:t>
      </w:r>
    </w:p>
    <w:p>
      <w:pPr>
        <w:spacing w:after="80"/>
      </w:pPr>
      <w:r>
        <w:rPr>
          <w:rFonts w:ascii="Calibri" w:hAnsi="Calibri"/>
          <w:b w:val="0"/>
          <w:color w:val="3A4A28"/>
          <w:sz w:val="20"/>
        </w:rPr>
        <w:t>Coty is a global beauty company with prestige and consumer beauty brands spanning fragrance, color cosmetics, and skin care. Key brands include Burberry, Calvin Klein, Hugo Boss, and Marc Jacobs (Prestige, ~66% of revenue), plus CoverGirl, Sally Hansen, and Rimmel (Consumer Beauty). FY2026 (ending June 2026) revenue was $5.81B, declining 2% reported and 5% like-for-like, as the company navigated a CEO transition — Sue Nabi departed and Markus Strobel (former P&amp;G executive) became Interim CEO and Executive Chairman effective January 2026 [1]. The company is executing its 'Coty.Curated' turnaround strategy focused on fewer, bigger, better initiatives. Multiple securities class action lawsuits have been filed alleging misstatements about segment trends and profitability [2].</w:t>
      </w:r>
    </w:p>
    <w:p>
      <w:r>
        <w:rPr>
          <w:rFonts w:ascii="Calibri" w:hAnsi="Calibri"/>
          <w:b/>
          <w:color w:val="6E8450"/>
          <w:sz w:val="18"/>
        </w:rPr>
        <w:t>11,636 Employees · https://www.coty.com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Coty has not executed a transformative product launch or business pivot in the last 5 years. The company has been in chronic turnaround mode — from the KKR-backed restructuring through Sue Nabi's prestige-led strategy to the current Coty.Curated framework under Interim CEO Strobel [2]. The exit from the Gucci license is a notable portfolio rationalization, shifting prestige revenue mix to 66%, but this is defensive portfolio management rather than innovation. Consumer Beauty has been consistently underperforming and losing market share [1]. AI Deployment (1/2): Management has discussed AI-driven efficiencies and data-driven operations as part of Coty.Curated, with plans to accelerate AI-powered consumer engagement and advocacy [2]. However, no specific AI products, quantified savings, or AI revenue have been disclosed — this remains at the exploration stage. Market Share (1/2): Coty holds meaningful positions in prestige fragrance (Burberry, Calvin Klein, Hugo Boss) and consumer beauty (CoverGirl, Sally Hansen), but the company has been losing market share in Consumer Beauty and growth in Prestige fragrance was slowing prior to the CEO departure [1][2]. Not a category leader or share gainer. Product Pipeline (0/2): No specific next-generation products announced with timelines. The Coty.Curated strategy is explicitly about fewer launches with higher quality, not a robust product pipeline. R&amp;D Intensity (0/1): No evidence of above-average R&amp;D spending. The company's focus is on marketing efficiency and cost reduction rather than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Coty's purpose centers on 'celebrating and liberating the diversity of beauty,' with a sustainability framework called 'Beauty That Lasts' [3]. The purpose is clear and identifies a worthy aim within the beauty industry, but is not deeply distinctive — most beauty companies articulate similar inclusive beauty missions. The rapid CEO transitions (Nabi to Strobel) raise questions about how deeply this purpose is embedded in decision-making versus serving as marketing positioning. Community Impact (1/2): Coty has achieved meaningful environmental results — 82% reduction in Scope 1 and 2 emissions since 2019, 100% renewable electricity in owned facilities, and ESG rating upgrades from both Sustainalytics (18.1, leading global beauty) and MSCI (upgraded to A) [3]. These represent genuine institutional commitment to environmental sustainability, though community investment beyond environmental is unclear. Employee Retention (0/2): The CEO departure of Sue Nabi, securities class action lawsuits alleging governance failures, withdrawn FY2026 guidance, and the appointment of an interim CEO signal organizational instability [2]. No positive employee retention data was found. Insider Buying (0/2): No evidence of meaningful net insider buying. With the stock declining to $2.50 and securities lawsuits pending, insider sentiment appears negative.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Coty's extremely low Forward P/E of 5.96 scores a perfect 1.0, reflecting deep distress pricing after the stock fell 17% post-Q4 earnings to $2.50 [1][4]. D/E of 98.0% scores 0.88, indicating elevated but manageable leverage with $3.43B in debt against the balance sheet. Revenue growth 5yr CAGR of approximately 5% scores 0.67 with 2x weight. However, ROE of -13.94% scores 0.0 with 2x weight, reflecting the $545.8M net loss in FY2026 [4]. Net profit margin of -6.2% also scores 0.0. Revenue growth YoY of -2.0% is weak, scoring 0.60. Operating cash flow of $538M and free cash flow of $348M provide some comfort despite GAAP losses [1]. The stock clears the liquidity floor with approximately $21M+ in daily trading value. PEG ratio excluded due to negative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Coty exhibits finite-game characteristics — chronic leadership instability (CEO departure, interim leadership, securities lawsuits), strategic direction changes every few years (restructuring to prestige-led to Coty.Curated), and revenue decline suggesting the organization is fighting for survival rather than playing to keep playing [1][2]. The Coty.Curated strategy is explicitly about financial optimization — fewer launches, marketing efficiency, cost reduction — rather than advancing a Just Cause. The company has cycled through multiple turnaround narratives without demonstrating the sustained, purpose-driven execution that defines infinite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Coty's purpose of 'celebrating and liberating the diversity of beauty' exists but reads as marketing positioning rather than a lived operational principle. The company has been in constant turnaround mode — KKR-backed restructuring, Sue Nabi's prestige pivot, now Strobel's Coty.Curated — with each new leader bringing a new strategic framework, suggesting the purpose has not shaped durable strategic decisions [2]. Securities class action lawsuits alleging misstatements about profitability further undermine the credibility of any stated purpose beyond financial engineering.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departure of CEO Sue Nabi, appointment of an interim CEO, multiple securities class action lawsuits alleging governance failures, withdrawn FY2026 guidance, and Consumer Beauty segment underperformance paint a picture of organizational instability [2]. The securities lawsuits specifically allege that management made misleading statements about business trends, which directly contradicts organizational trust. Frequent leadership changes and strategic pivots create an environment where employees navigate uncertainty rather than advance a shared mission.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company's strategic language focuses on operational optimization and market share recovery rather than learning from competitors' strengths. The Coty.Curated strategy is inward-focused on cost structure and portfolio rationalization rather than competitive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Coty has evolved its business mix over time — shifting from consumer beauty-dominated to 66% prestige revenue, exiting the Gucci license, and restructuring under Coty.Curated to focus on fewer, higher-impact brands and initiatives [1]. These represent meaningful portfolio evolution, particularly the deliberate shift toward prestige fragrance. However, these are incremental adjustments driven by financial necessity rather than a transformative pivot in service of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Gucci license exit represents a willingness to walk away from significant revenue when the economics no longer work. Interim CEO Strobel took direct control of Prestige commercial operations, bringing leadership closer to markets and speeding up decision-making [2]. However, the pattern of strategic pivots every few years and withdrawn guidance suggests reactive crisis management rather than proactive long-term investment. No evidence of leadership sacrificing near-term results for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Coty at $2.50 and 5.96x forward earnings is a deeply distressed turnaround play in the global beauty market, with the investment case resting on whether Interim CEO Strobel's Coty.Curated strategy can stabilize revenue and restore profitability. The prestige fragrance portfolio (Burberry, Calvin Klein, Hugo Boss, Marc Jacobs) at 66% of revenue provides brand equity that is difficult to replicate, and operating cash flow of $538M / free cash flow of $348M demonstrate the business generates meaningful cash despite GAAP losses [1]. The Sustainalytics ESG rating upgrade to 18.1 (leading global beauty) and MSCI upgrade to A reflect genuine sustainability progress [3]. At a market cap of ~$2.2B against $5.8B in revenue, the stock is priced for significant distress — any stabilization of Consumer Beauty or margin improvement could drive meaningful re-rating.</w:t>
      </w:r>
    </w:p>
    <w:p>
      <w:pPr>
        <w:spacing w:after="120"/>
      </w:pPr>
      <w:r>
        <w:rPr>
          <w:rFonts w:ascii="Calibri" w:hAnsi="Calibri"/>
          <w:b w:val="0"/>
          <w:color w:val="3A4A28"/>
          <w:sz w:val="20"/>
        </w:rPr>
        <w:t>The bear case dominates: FY2026 revenue declined 5% like-for-like, the company reported a $545.8M net loss, and shares fell 17% after Q4 results as management described FY2027 as a 'transition year' with no full-year guidance [1]. The CEO departure, securities class action lawsuits, and appointment of an interim CEO signal governance dysfunction that may take years to resolve. Coty has cycled through multiple turnaround narratives without sustained execution — the Coty.Curated strategy may be another chapter in this pattern. D/E of 98% with $3.43B in debt creates financial fragility during a revenue decline, and the $257M cash position provides limited cushion [4]. Consumer Beauty continues losing market share with no clear path to stabilization. The Inspire Impact Score of -67 (MISALIGNED) restricts allocation for faith-based investors. FY2027 guidance is limited to Q1 and first-half free cash flow only, suggesting management lacks visibility into the recovery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Coty.Curated strategy execution — fewer, bigger, better product launches with improved formulation quality and marketing efficiency could stabilize revenue and expand margins if the higher-quality approach resonates with consumers [2]</w:t>
      </w:r>
    </w:p>
    <w:p>
      <w:pPr>
        <w:spacing w:before="40" w:after="40"/>
        <w:ind w:left="283"/>
      </w:pPr>
      <w:r>
        <w:rPr>
          <w:rFonts w:ascii="Calibri" w:hAnsi="Calibri"/>
          <w:b/>
          <w:color w:val="4A6B25"/>
          <w:sz w:val="20"/>
        </w:rPr>
        <w:t xml:space="preserve">2. </w:t>
      </w:r>
      <w:r>
        <w:rPr>
          <w:rFonts w:ascii="Calibri" w:hAnsi="Calibri"/>
          <w:b w:val="0"/>
          <w:color w:val="3A4A28"/>
          <w:sz w:val="20"/>
        </w:rPr>
        <w:t>Permanent CEO appointment could restore investor confidence and strategic clarity, reducing the governance discount embedded in the stock after the Nabi departure and securities lawsuits [2]</w:t>
      </w:r>
    </w:p>
    <w:p>
      <w:pPr>
        <w:spacing w:before="40" w:after="40"/>
        <w:ind w:left="283"/>
      </w:pPr>
      <w:r>
        <w:rPr>
          <w:rFonts w:ascii="Calibri" w:hAnsi="Calibri"/>
          <w:b/>
          <w:color w:val="4A6B25"/>
          <w:sz w:val="20"/>
        </w:rPr>
        <w:t xml:space="preserve">3. </w:t>
      </w:r>
      <w:r>
        <w:rPr>
          <w:rFonts w:ascii="Calibri" w:hAnsi="Calibri"/>
          <w:b w:val="0"/>
          <w:color w:val="3A4A28"/>
          <w:sz w:val="20"/>
        </w:rPr>
        <w:t>Prestige fragrance resilience at 66% of revenue provides a floor — the global prestige beauty market continues to grow, and Coty's licensed brands (Burberry, Calvin Klein, Hugo Boss) maintain strong consumer recognition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class action lawsuits alleging misstatements about segment trends and profitability create legal liability, management distraction, and reputational damage that could persist for years and result in significant settlements [2]</w:t>
      </w:r>
    </w:p>
    <w:p>
      <w:pPr>
        <w:spacing w:before="40" w:after="40"/>
        <w:ind w:left="283"/>
      </w:pPr>
      <w:r>
        <w:rPr>
          <w:rFonts w:ascii="Calibri" w:hAnsi="Calibri"/>
          <w:b/>
          <w:color w:val="4A6B25"/>
          <w:sz w:val="20"/>
        </w:rPr>
        <w:t xml:space="preserve">2. </w:t>
      </w:r>
      <w:r>
        <w:rPr>
          <w:rFonts w:ascii="Calibri" w:hAnsi="Calibri"/>
          <w:b w:val="0"/>
          <w:color w:val="3A4A28"/>
          <w:sz w:val="20"/>
        </w:rPr>
        <w:t>Revenue decline acceleration — FY2026 like-for-like sales fell 5%, Q4 like-for-like declined 1%, and management offered no full-year FY2027 guidance, describing it as a 'transition year' with early uncertainty [1]</w:t>
      </w:r>
    </w:p>
    <w:p>
      <w:pPr>
        <w:spacing w:before="40" w:after="40"/>
        <w:ind w:left="283"/>
      </w:pPr>
      <w:r>
        <w:rPr>
          <w:rFonts w:ascii="Calibri" w:hAnsi="Calibri"/>
          <w:b/>
          <w:color w:val="4A6B25"/>
          <w:sz w:val="20"/>
        </w:rPr>
        <w:t xml:space="preserve">3. </w:t>
      </w:r>
      <w:r>
        <w:rPr>
          <w:rFonts w:ascii="Calibri" w:hAnsi="Calibri"/>
          <w:b w:val="0"/>
          <w:color w:val="3A4A28"/>
          <w:sz w:val="20"/>
        </w:rPr>
        <w:t>Balance sheet fragility with $3.43B debt and $257M cash during a revenue decline — if the turnaround takes longer than expected, Coty may face refinancing risk or need to divest brands at distressed valuations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Coty's core business — manufacturing and marketing physical beauty products (fragrances, cosmetics, skincare) — is structurally protected from AI disruption. AI cannot replace the sensory experience of fragrance, the physical application of cosmetics, or the emotional brand connections that drive beauty purchases [1]. The beauty industry's moats are brand equity, distribution relationships, and formulation expertise — none of which AI can easily replicate. However, AI does create competitive pressure in digital marketing (AI-generated content reducing Coty's marketing efficiency advantage), virtual try-on technology (enabling DTC brands to compete without physical retail), and consumer insights (leveling the data advantage large beauty companies held). The company acknowledges this by incorporating AI into its Coty.Curated strategy for efficiencies and consumer engagement [2]. AI Opportunity (0/1): No quantifiable AI revenue. The company discusses AI-driven operational efficiencies and data-driven consumer engagement, but these are cost-saving measures, not revenue-generating AI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Coty Q4 and Full Year FY2026 Earnings Release — FY2026 Revenue $5,806.6M (-2% reported, -5% LFL), Q4 Revenue $1.27B, OCF $538M, FCF $348M, FY2027 Described as Transition Year — BusinessWire, August 19, 2026</w:t>
      </w:r>
    </w:p>
    <w:p>
      <w:pPr>
        <w:spacing w:before="20" w:after="20"/>
        <w:ind w:left="170"/>
      </w:pPr>
      <w:r>
        <w:rPr>
          <w:rFonts w:ascii="Calibri" w:hAnsi="Calibri"/>
          <w:b/>
          <w:color w:val="4A6B25"/>
          <w:sz w:val="15"/>
        </w:rPr>
        <w:t xml:space="preserve">2. </w:t>
      </w:r>
      <w:r>
        <w:rPr>
          <w:rFonts w:ascii="Calibri" w:hAnsi="Calibri"/>
          <w:b w:val="0"/>
          <w:color w:val="3A4A28"/>
          <w:sz w:val="17"/>
        </w:rPr>
        <w:t>Coty Leadership Transition and Strategy — Sue Nabi Departure, Markus Strobel Appointed Interim CEO Jan 2026, Coty.Curated Strategy, Securities Class Action Lawsuits, Gucci License Exit — Yahoo Finance, Coty.com, CosmeticsBusiness, 2026</w:t>
      </w:r>
    </w:p>
    <w:p>
      <w:pPr>
        <w:spacing w:before="20" w:after="20"/>
        <w:ind w:left="170"/>
      </w:pPr>
      <w:r>
        <w:rPr>
          <w:rFonts w:ascii="Calibri" w:hAnsi="Calibri"/>
          <w:b/>
          <w:color w:val="4A6B25"/>
          <w:sz w:val="15"/>
        </w:rPr>
        <w:t xml:space="preserve">3. </w:t>
      </w:r>
      <w:r>
        <w:rPr>
          <w:rFonts w:ascii="Calibri" w:hAnsi="Calibri"/>
          <w:b w:val="0"/>
          <w:color w:val="3A4A28"/>
          <w:sz w:val="17"/>
        </w:rPr>
        <w:t>Coty ESG Performance — Sustainalytics Rating 18.1 (Leading Beauty), MSCI Upgrade to A, 82% Emissions Reduction, 100% Renewable Electricity in Owned Facilities, 'Beauty That Lasts' Framework — Nasdaq, CosmeticsBusiness, April 2025</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COTY Key Statistics: Stock Price $2.50, Forward P/E 5.96, D/E 98%, ROE -13.94%, Profit Margin -6.2%, Avg Volume ~8.5M,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