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CRF</w:t>
      </w:r>
      <w:r>
        <w:rPr>
          <w:rFonts w:ascii="Calibri" w:hAnsi="Calibri"/>
          <w:b/>
          <w:color w:val="1A2010"/>
          <w:sz w:val="40"/>
        </w:rPr>
        <w:t xml:space="preserve">  Cornerstone Total Return Fund, Inc.</w:t>
      </w:r>
    </w:p>
    <w:p>
      <w:pPr>
        <w:spacing w:after="120"/>
      </w:pPr>
      <w:r>
        <w:rPr>
          <w:rFonts w:ascii="Calibri" w:hAnsi="Calibri"/>
          <w:b/>
          <w:color w:val="6E8450"/>
          <w:sz w:val="18"/>
        </w:rPr>
        <w:t>DIVIDEND SLEEVE · 2026-07-25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American · United States</w:t>
      </w:r>
    </w:p>
    <w:p>
      <w:pPr>
        <w:spacing w:after="80"/>
      </w:pPr>
      <w:r>
        <w:rPr>
          <w:rFonts w:ascii="Calibri" w:hAnsi="Calibri"/>
          <w:b w:val="0"/>
          <w:color w:val="3A4A28"/>
          <w:sz w:val="20"/>
        </w:rPr>
        <w:t>Cornerstone Total Return Fund is a diversified, closed-end management investment company incorporated in 1973. Managed by Cornerstone Advisors LLC (team of Nicholas Birk, Ralph Bradshaw, Joshua Bradshaw, and Daniel Bradshaw), the fund invests in U.S. public equity markets across all capitalizations and sectors, including through other closed-end funds and ETFs. It operates a managed distribution policy targeting 21% of NAV annually.</w:t>
      </w:r>
    </w:p>
    <w:p>
      <w:r>
        <w:rPr>
          <w:rFonts w:ascii="Calibri" w:hAnsi="Calibri"/>
          <w:b/>
          <w:color w:val="6E8450"/>
          <w:sz w:val="18"/>
        </w:rPr>
        <w:t>https://www.cornerstonetotalreturnfund.com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CRF is a passive closed-end fund that invests in other funds and ETFs — no products, no business model innovation, and no meaningful strategic pivots in its 53-year history. FY2025 total investment return at market was 14.3% after reinvesting distributions, which trailed the S&amp;P 500 [1]. AI Deployment (0/2): No AI deployment or strategy; the fund is managed by Cornerstone Advisors LLC with a straightforward equity allocation approach [1]. Market Share (1/2): CRF maintains a recognizable brand among income-seeking retail investors through its high-yield 21% managed distribution policy, still commanding a premium to NAV (~8%), though this has contracted significantly from the ~21% premium reported in prior periods [3]. Pipeline (0/2): No product pipeline; the fund's strategy has remained unchanged for decades [1]. R&amp;D Intensity (1/1): Fund management fees fund the advisory relationship; spending is at industry average for closed-end fund management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CRF has no mission, purpose, or vision statement beyond generating returns and distributions for shareholders. The fund exists as a purely transactional financial vehicle with no articulated higher purpose [1]. Community Impact (0/2): No evidence of charitable programs, community investment, or social impact beyond distributions to shareholders [1]. Employee Retention (0/2): The fund has no employees; it is externally managed by Cornerstone Advisors LLC. No retention data applicable [1]. Insider Buying (0/2): Director Matthew Morris sold shares in September 2025; net insider selling with no insider purchases reported, indicating management lacks conviction in the fund's value proposition at premium levels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CRF's financial metrics are distorted by its closed-end fund structure. The fund carries zero debt (D/E 0%) and FY2025 ROE of 15.5% ($162.4M net increase in net assets from $1,049.4M NAV) reflects strong underlying equity market returns rather than operating efficiency [1]. The critical weakness remains the ~140% payout ratio — FY2025 distributions of $1.40/share against EPS of $1.01 confirm the fund continues to systematically return shareholders' own capital [1][3]. The 21% annualized distribution rate is unsustainable without consistent 20%+ annual market returns. Consecutive years paid (41) is strong, but the dividend per share continues to decline (5yr CAGR of -7.8%), reflecting the shrinking per-share NAV base despite the rights offering adding shares [3]. Premium to NAV has contracted significantly from ~21% to ~8% ($7.00 market vs $6.52 NAV), suggesting declining retail enthusiasm for the high-yield structure. Liquidity adequate at $9.0M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Cornerstone Total Return Fund epitomizes finite game thinking — it exists to generate the highest possible current distribution, even at the cost of systematic NAV erosion. The 21% managed distribution policy funded by return of capital is the opposite of playing to keep playing; it is consuming the fund's own assets to maintain the appearance of income. There is no cause, no organizational trust, no flexibility, and no competitive awareness.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CRF has no Just Cause. The fund's sole purpose is to generate distributions for shareholders, with no vision of a better future, no aspiration beyond financial returns, and no articulated reason for existence beyond the managed distribution policy. This is a purely transactional financial vehicle (0 pts).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CRF has no employees and is externally managed by Cornerstone Advisors LLC. The trust question is between shareholders and the advisor, and evidence suggests strained trust: director insider selling, the 2025 rights offering that diluted existing shareholders while recapitalizing the distribution program, and a distribution policy widely criticized as returning shareholders' own capital [3][4]. The premium-to-NAV contraction from ~21% to ~8% signals eroding investor confidence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that CRF or Cornerstone Advisors acknowledges worthy rivals or uses competitive dynamics to improve. The fund operates in a universe of closed-end funds, ETFs, and AI-powered income platforms but shows no competitive awareness — the strategy has remained essentially unchanged for 53 years despite profound changes in the investment landscape (0 pts).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CRF has operated the same strategy for 53 years with no meaningful evolution. The managed distribution policy has been the defining characteristic, and rather than adapting to a market where low-cost income alternatives proliferate, the fund has doubled down on high distributions even as the per-share NAV erodes from dividend decline (5yr CAGR -7.8%) and return of capital. The 2025 rights offering recapitalized the distribution program rather than changing it — the antithesis of flexibility (0 pts).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There is no evidence of courageous leadership decisions. Maintaining an unsustainable 21% distribution rate when the payout ratio is 140% and per-share dividends are declining at 7.8% annually is the path of least resistance — it keeps retail income seekers satisfied in the short term while systematically destroying long-term value [1][3]. A courageous leader would reduce the distribution rate to a sustainable level to preserve NAV, even knowing it would trigger short-term selling (0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CRF offers a 20.2% dividend yield backed by a 41-year distribution history, with the premium to NAV having contracted to ~8% from ~21% — making the entry point less egregious for income-seeking investors willing to accept the structural risks [1][3]. FY2025 total return at market of 14.3% demonstrates the fund participates in equity upside through its diversified stock and ETF holdings, and zero debt provides downside protection during corrections. The P/E ratio of 6.9x on FY2025 investment gains creates optically attractive valuation, and the rights offering at $6.97/share recapitalized the fund [1][5].</w:t>
      </w:r>
    </w:p>
    <w:p>
      <w:pPr>
        <w:spacing w:after="120"/>
      </w:pPr>
      <w:r>
        <w:rPr>
          <w:rFonts w:ascii="Calibri" w:hAnsi="Calibri"/>
          <w:b w:val="0"/>
          <w:color w:val="3A4A28"/>
          <w:sz w:val="20"/>
        </w:rPr>
        <w:t>The bear case is overwhelming and structural. CRF's 21% managed distribution policy is funded primarily by return of capital — the 140% payout ratio confirms the fund systematically returns shareholders' own money, with per-share dividends declining at a 7.8% 5yr CAGR from $2.12 in 2020 to $1.41 in 2025 [3]. NAV per share of $6.52 means each $7.00 share still overpays by 8% for the underlying assets. EPS declined 27.7% in the most recent period, reflecting lower investment gains and the dilutive impact of the 2025 rights offering (162.2M shares outstanding vs fewer pre-offering) [5]. Director insider selling in September 2025 signals management skepticism about the fund at premium levels [4]. The fund has no mission, no innovation, no employees, and no strategy beyond maintaining an unsustainable distribution — it is a financial vehicle designed to transfer wealth from less-informed retail income seekers to fund management through fees on a declining asset base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Equity market rally — CRF's returns are directly tied to U.S. equity performance, and a sustained bull market exceeding 21% annually would temporarily sustain distributions and stabilize NAV [1]</w:t>
      </w:r>
    </w:p>
    <w:p>
      <w:pPr>
        <w:spacing w:before="40" w:after="40"/>
        <w:ind w:left="283"/>
      </w:pPr>
      <w:r>
        <w:rPr>
          <w:rFonts w:ascii="Calibri" w:hAnsi="Calibri"/>
          <w:b/>
          <w:color w:val="4A6B25"/>
          <w:sz w:val="20"/>
        </w:rPr>
        <w:t xml:space="preserve">2. </w:t>
      </w:r>
      <w:r>
        <w:rPr>
          <w:rFonts w:ascii="Calibri" w:hAnsi="Calibri"/>
          <w:b w:val="0"/>
          <w:color w:val="3A4A28"/>
          <w:sz w:val="20"/>
        </w:rPr>
        <w:t>Premium contraction to ~8% from ~21% provides a less-distorted entry point for investors willing to accept the structural risks [3]</w:t>
      </w:r>
    </w:p>
    <w:p>
      <w:pPr>
        <w:spacing w:before="40" w:after="40"/>
        <w:ind w:left="283"/>
      </w:pPr>
      <w:r>
        <w:rPr>
          <w:rFonts w:ascii="Calibri" w:hAnsi="Calibri"/>
          <w:b/>
          <w:color w:val="4A6B25"/>
          <w:sz w:val="20"/>
        </w:rPr>
        <w:t xml:space="preserve">3. </w:t>
      </w:r>
      <w:r>
        <w:rPr>
          <w:rFonts w:ascii="Calibri" w:hAnsi="Calibri"/>
          <w:b w:val="0"/>
          <w:color w:val="3A4A28"/>
          <w:sz w:val="20"/>
        </w:rPr>
        <w:t>Distribution policy reform — reducing the 21% target to a sustainable 8-10% level would stabilize NAV and signal long-term thinking, though this would likely trigger short-term selling from yield-seekers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Systematic NAV erosion — 140% payout ratio funded by return of capital ensures the fund's per-share asset base shrinks annually, with dividend per share declining at 7.8% 5yr CAGR, creating a terminal decline trajectory unless market returns consistently exceed 21% [3]</w:t>
      </w:r>
    </w:p>
    <w:p>
      <w:pPr>
        <w:spacing w:before="40" w:after="40"/>
        <w:ind w:left="283"/>
      </w:pPr>
      <w:r>
        <w:rPr>
          <w:rFonts w:ascii="Calibri" w:hAnsi="Calibri"/>
          <w:b/>
          <w:color w:val="4A6B25"/>
          <w:sz w:val="20"/>
        </w:rPr>
        <w:t xml:space="preserve">2. </w:t>
      </w:r>
      <w:r>
        <w:rPr>
          <w:rFonts w:ascii="Calibri" w:hAnsi="Calibri"/>
          <w:b w:val="0"/>
          <w:color w:val="3A4A28"/>
          <w:sz w:val="20"/>
        </w:rPr>
        <w:t>Premium to NAV collapse risk — the contraction from ~21% to ~8% may continue to par or a discount if retail income seekers recognize distributions are largely return of capital, triggering a severe additional price decline [3]</w:t>
      </w:r>
    </w:p>
    <w:p>
      <w:pPr>
        <w:spacing w:before="40" w:after="40"/>
        <w:ind w:left="283"/>
      </w:pPr>
      <w:r>
        <w:rPr>
          <w:rFonts w:ascii="Calibri" w:hAnsi="Calibri"/>
          <w:b/>
          <w:color w:val="4A6B25"/>
          <w:sz w:val="20"/>
        </w:rPr>
        <w:t xml:space="preserve">3. </w:t>
      </w:r>
      <w:r>
        <w:rPr>
          <w:rFonts w:ascii="Calibri" w:hAnsi="Calibri"/>
          <w:b w:val="0"/>
          <w:color w:val="3A4A28"/>
          <w:sz w:val="20"/>
        </w:rPr>
        <w:t>Dilutive capital raises — the 2025 rights offering at $6.97/share expanded shares to 162.2M, setting a precedent for recurring dilution to recapitalize the distribution program while destroying per-share value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CRF is a closed-end equity fund — its underlying assets are publicly traded stocks and other funds, which AI cannot directly displace or substitute [1]. The fund's value proposition is income generation through managed distributions, not active management alpha that AI-driven quantitative strategies could immediately erode. However, the rise of AI-powered investment platforms and robo-advisors offering low-cost income solutions creates competitive pressure on high-fee closed-end fund structures, and AI-powered financial literacy tools may help retail investors understand the return-of-capital math that sustains CRF's premium [3]. The premium-to-NAV contraction from ~21% to ~8% may partly reflect more sophisticated investor analysis. AI Opportunity (0/1): CRF does not generate revenue from AI products or services; any AI exposure is indirect through portfolio holdings of technology stocks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Cornerstone Total Return Fund FY2025 Annual Report (N-CSR) — NAV $1,049.4M ($6.52/share), net income $162.4M, total return at market 14.3%, distributions $1.40/share</w:t>
      </w:r>
    </w:p>
    <w:p>
      <w:pPr>
        <w:spacing w:before="20" w:after="20"/>
        <w:ind w:left="170"/>
      </w:pPr>
      <w:r>
        <w:rPr>
          <w:rFonts w:ascii="Calibri" w:hAnsi="Calibri"/>
          <w:b/>
          <w:color w:val="4A6B25"/>
          <w:sz w:val="15"/>
        </w:rPr>
        <w:t xml:space="preserve">2. </w:t>
      </w:r>
      <w:r>
        <w:rPr>
          <w:rFonts w:ascii="Calibri" w:hAnsi="Calibri"/>
          <w:b w:val="0"/>
          <w:color w:val="3A4A28"/>
          <w:sz w:val="17"/>
        </w:rPr>
        <w:t>Cornerstone Funds Distribution Announcement — monthly distributions of $0.1176/share, 21% annualized distribution rate maintained for 2026</w:t>
      </w:r>
    </w:p>
    <w:p>
      <w:pPr>
        <w:spacing w:before="20" w:after="20"/>
        <w:ind w:left="170"/>
      </w:pPr>
      <w:r>
        <w:rPr>
          <w:rFonts w:ascii="Calibri" w:hAnsi="Calibri"/>
          <w:b/>
          <w:color w:val="4A6B25"/>
          <w:sz w:val="15"/>
        </w:rPr>
        <w:t xml:space="preserve">3. </w:t>
      </w:r>
      <w:r>
        <w:rPr>
          <w:rFonts w:ascii="Calibri" w:hAnsi="Calibri"/>
          <w:b w:val="0"/>
          <w:color w:val="3A4A28"/>
          <w:sz w:val="17"/>
        </w:rPr>
        <w:t>CRF premium-to-NAV analysis — contraction from ~21% to ~8%, return of capital concerns, 2025 rights offering at $6.97/share, payout ratio ~140%</w:t>
      </w:r>
    </w:p>
    <w:p>
      <w:pPr>
        <w:spacing w:before="20" w:after="20"/>
        <w:ind w:left="170"/>
      </w:pPr>
      <w:r>
        <w:rPr>
          <w:rFonts w:ascii="Calibri" w:hAnsi="Calibri"/>
          <w:b/>
          <w:color w:val="4A6B25"/>
          <w:sz w:val="15"/>
        </w:rPr>
        <w:t xml:space="preserve">4. </w:t>
      </w:r>
      <w:r>
        <w:rPr>
          <w:rFonts w:ascii="Calibri" w:hAnsi="Calibri"/>
          <w:b w:val="0"/>
          <w:color w:val="3A4A28"/>
          <w:sz w:val="17"/>
        </w:rPr>
        <w:t>CRF insider activity — Director Matthew Morris sold shares September 2025; no insider purchases reported</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for CRF — stock price $7.00, market cap $1.14B, PE 6.94, dividend yield 20.16%, EPS $1.01 (down 27.7%), shares outstanding 162.2M,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