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CSX</w:t>
      </w:r>
      <w:r>
        <w:rPr>
          <w:rFonts w:ascii="Calibri" w:hAnsi="Calibri"/>
          <w:b/>
          <w:color w:val="1A2010"/>
          <w:sz w:val="40"/>
        </w:rPr>
        <w:t xml:space="preserve">  CSX Corporation</w:t>
      </w:r>
    </w:p>
    <w:p>
      <w:pPr>
        <w:spacing w:after="120"/>
      </w:pPr>
      <w:r>
        <w:rPr>
          <w:rFonts w:ascii="Calibri" w:hAnsi="Calibri"/>
          <w:b/>
          <w:color w:val="6E8450"/>
          <w:sz w:val="18"/>
        </w:rPr>
        <w:t>GROWTH SLEEVE · 2026-08-16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NASDAQ · United States</w:t>
      </w:r>
    </w:p>
    <w:p>
      <w:pPr>
        <w:spacing w:after="80"/>
      </w:pPr>
      <w:r>
        <w:rPr>
          <w:rFonts w:ascii="Calibri" w:hAnsi="Calibri"/>
          <w:b w:val="0"/>
          <w:color w:val="3A4A28"/>
          <w:sz w:val="20"/>
        </w:rPr>
        <w:t>CSX Corporation provides rail-based freight transportation services across the eastern United States and Canada. Operating approximately 20,000 route miles of track, CSX transports merchandise, intermodal containers, and coal/minerals, and also provides trucking, real estate, and terminal services through its subsidiaries. CSX posted record Q2 2026 revenue of $3.94 billion (+10.1% YoY) on 9% intermodal volume growth, and has remained an independent Class I railroad even as rival Union Pacific pursues an $85 billion merger with Norfolk Southern.</w:t>
      </w:r>
    </w:p>
    <w:p>
      <w:r>
        <w:rPr>
          <w:rFonts w:ascii="Calibri" w:hAnsi="Calibri"/>
          <w:b/>
          <w:color w:val="6E8450"/>
          <w:sz w:val="18"/>
        </w:rPr>
        <w:t>22,200 Employees · https://www.csx.com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CSX's $670 million Wabtec fleet modernization deal continues to roll out digital optimization and predictive maintenance tools, and Q2 2026 revenue hit a record $3.94 billion (+10.1% YoY) with intermodal volume up 9% to 792,000 units, but these are incremental operational gains rather than a transformative business model shift [1][2]. AI Deployment (1/2): CSX is deploying AI and edge computing for real-time network decision-making, autonomous drone rail inspections, and joined the RailPulse digitization initiative alongside a Microsoft 'AI Railroad Brain' collaboration, though specific dollar savings or revenue gains remain unquantified [3]. Market Share (1/2): CSX operates one of only 7 Class I railroads in North America with ~20,000 route miles — a natural oligopoly, but share gains are incremental given largely fixed rail infrastructure [1]. Product Pipeline (2/2): Management raised full-year 2026 guidance to mid-to-high single-digit revenue growth, operating margin expansion of greater than 350 basis points, and free cash flow growth of better than 80% — specific, quantified targets with clear visibility [1][4]. R&amp;D Intensity (1/1): The $670 million Wabtec technology investment remains significant relative to CSX's capital expenditure profile, above-average for the railroad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CSX's mission of being the most efficient and sustainable railroad connecting communities and enabling commerce is clear but not deeply distinctive — all Class I railroads articulate a similar purpose [5]. Community Impact (1/2): CSX has been on the Dow Jones Sustainability Index for 9 consecutive years and runs the SAFE CSX program logging over 54,000 safety training hours, though this is standard corporate ESG activity rather than distinctive community investment [5][6]. Employee Retention (1/2): New CHRO Riz Chand and CEO Angel's stated focus on a 'collaborative culture' signal investment in workforce development, but a string of 2026 derailments (North Bergen NJ in April, Pennsylvania in June, South Charleston WV in August) has sharpened safety and reliability scrutiny, offsetting positive culture signals with average-for-industry evidence [6]. Insider Buying (2/2): CEO Steve Angel has made multiple open-market purchases with zero sales since his September 2025 appointment, including a 25,000-share buy (~$1.0 million) in March 2026 that grew his holdings by 20.6% to 146,540 shares — meaningful, specific, and continued personal conviction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growth-sleeve formula (PEG-weighted) since CSX's 1.12% dividend yield falls below the 2% threshold that would trigger dividend-sleeve weighting, despite its 21-year dividend growth streak. ROE of 24.36% and profit margin of 22.21% both clear their targets (capped at 1.0), and revenue growth (10.1% YoY off the record Q2 print, 5.9% 5yr CAGR) scores well. D/E of 138% sits above the 70% target but is typical for capital-intensive rail infrastructure, scoring 0.70. Forward P/E of 23.42 is modestly above the 20x target (0.91), and Forward PEG of 1.92 (2x weight) sits mid-range between the 1.0 target and 3.0 floor (0.54), the main drag on an otherwise strong score. Liquidity clears the floor by a wide margin at ~$660M in daily dollar volume (13.16M shares x $50.16).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CSX under CEO Steve Angel shows mixed infinite game signals. The company's decision to remain an independent Class I railroad rather than join the wave of consolidation (Union Pacific's $85 billion Norfolk Southern bid) reflects some conviction in its own long-term standalone strategy, and Angel's continued personal share purchases signal genuine confidence. However, a string of 2026 derailments (New Jersey, Pennsylvania, West Virginia) has sharpened investor and regulatory scrutiny of safety and network reliability, tempering the trust and stability narrative that would otherwise support a stronger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CSX's purpose of connecting communities and enabling commerce through efficient, sustainable freight transportation has real substance — rail's fuel-efficiency advantage over trucking gives the mission concrete meaning, and 9 consecutive years on the Dow Jones Sustainability Index shows some multi-year validation [5][6]. However, 2026's string of derailments (North Bergen NJ, Pennsylvania, South Charleston WV) creates tension between the stated sustainability/safety purpose and operational reality, and the cause has not been tested through a defining crisis at the level that would earn the top score [8].</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appointment of a dedicated CHRO (Riz Chand) and Angel's stated 'collaborative culture' focus signal intent, but three separate 2026 derailments in as many months (New Jersey in April, Pennsylvania in June, West Virginia in August) have sharpened investor scrutiny of safety practices and network reliability, and labor groups have raised concerns about AI-driven operational decisions affecting frontline workers [8]. This pattern of operational disruption outweighs the stated culture investments for this scoring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CSX continues to frame trucking as a worthy rival whose flexibility and short-haul cost advantages motivate rail service and efficiency improvements, and intermodal investment reflects learning from trucking's strengths rather than a zero-sum framing [1]. Even amid industry-wide rail consolidation pressure (UP-NS merger), CSX's public commentary has centered on its own network strengths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CSX continues incremental business model evolution — expanding intermodal capacity (+9% volume YoY), deploying AI/digital tools via the Wabtec partnership, and positioning rail as the sustainability-driven alternative to trucking [1][2][3]. These are meaningful adaptations, but the core freight-rail model remains fundamentally unchanged, and CSX has not faced or executed a transformative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CSX's decision to remain independent while rival Union Pacific pursues an $85 billion Norfolk Southern merger reflects a conviction-driven strategic choice rather than chasing consolidation, and the $670 million Wabtec fleet investment demonstrates willingness to commit meaningful long-term capital [2][4]. CEO Angel's continued personal open-market share purchases (25,000 shares, ~$1.0M, March 2026, zero sales since appointment) reinforce this, though the broader industry criticism of precision-scheduled-railroading cost discipline over service/safety investment tempers the picture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CSX posted record Q2 2026 revenue of $3.94 billion (+10.1% YoY) with operating margin expanding to 38.3% and management raising full-year guidance to mid-to-high single-digit revenue growth, operating margin gains above 350bps, and free cash flow growth exceeding 80% [1][4]. Intermodal volume grew 9% YoY to 792,000 units as truck-to-rail conversion continues, and CEO Steve Angel's continued open-market share purchases (25,000 shares, ~$1.0M, March 2026, zero sales since appointment) signal real personal conviction [1][7]. ROE of 24.36%, profit margin of 22.21%, and a 21-year dividend growth streak reflect a financially disciplined operator, and CSX's choice to remain independent while Union Pacific pursues an $85 billion Norfolk Southern merger positions it as a potential relative beneficiary if regulators constrain the combined UP-NS network [9].</w:t>
      </w:r>
    </w:p>
    <w:p>
      <w:pPr>
        <w:spacing w:after="120"/>
      </w:pPr>
      <w:r>
        <w:rPr>
          <w:rFonts w:ascii="Calibri" w:hAnsi="Calibri"/>
          <w:b w:val="0"/>
          <w:color w:val="3A4A28"/>
          <w:sz w:val="20"/>
        </w:rPr>
        <w:t>The primary risks are safety execution and industry consolidation dynamics. CSX experienced three separate derailments in 2026 (North Bergen NJ in April, Pennsylvania in June, South Charleston WV in August), sharpening investor and regulatory attention on cost discipline versus safety investment under precision-scheduled-railroading operating principles [8]. D/E of 138% and Forward PEG of 1.92 (above the 1.0 target) suggest the stock is not undervalued relative to its growth profile, and the pending $85 billion Union Pacific-Norfolk Southern merger — currently paused by the Surface Transportation Board pending supplemental filings — could reshape competitive dynamics across the entire eastern and coast-to-coast rail network regardless of CSX's own strategic choices [9]. A prolonged economic slowdown would directly compress merchandise and intermodal volumes against CSX's capital-intensive, largely fixed cost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intermodal share gains (already +9% YoY) as truck-to-rail conversion accelerates with tightening trucking capacity and rising diesel costs</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delivery — mid-to-high single-digit revenue growth, 350bps+ operating margin expansion, and 80%+ free cash flow growth — proving CSX can sustain the Q2 acceleration</w:t>
      </w:r>
    </w:p>
    <w:p>
      <w:pPr>
        <w:spacing w:before="40" w:after="40"/>
        <w:ind w:left="283"/>
      </w:pPr>
      <w:r>
        <w:rPr>
          <w:rFonts w:ascii="Calibri" w:hAnsi="Calibri"/>
          <w:b/>
          <w:color w:val="4A6B25"/>
          <w:sz w:val="20"/>
        </w:rPr>
        <w:t xml:space="preserve">3. </w:t>
      </w:r>
      <w:r>
        <w:rPr>
          <w:rFonts w:ascii="Calibri" w:hAnsi="Calibri"/>
          <w:b w:val="0"/>
          <w:color w:val="3A4A28"/>
          <w:sz w:val="20"/>
        </w:rPr>
        <w:t>Regulatory or competitive benefits if the Surface Transportation Board constrains or blocks the Union Pacific-Norfolk Southern merger, preserving CSX's relative network position in the eastern 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derailments (three in 2026 alone) triggering heightened regulatory scrutiny, potential NTSB-mandated operational changes, or reputational damage that could pressure the precision-scheduled-railroading cost model</w:t>
      </w:r>
    </w:p>
    <w:p>
      <w:pPr>
        <w:spacing w:before="40" w:after="40"/>
        <w:ind w:left="283"/>
      </w:pPr>
      <w:r>
        <w:rPr>
          <w:rFonts w:ascii="Calibri" w:hAnsi="Calibri"/>
          <w:b/>
          <w:color w:val="4A6B25"/>
          <w:sz w:val="20"/>
        </w:rPr>
        <w:t xml:space="preserve">2. </w:t>
      </w:r>
      <w:r>
        <w:rPr>
          <w:rFonts w:ascii="Calibri" w:hAnsi="Calibri"/>
          <w:b w:val="0"/>
          <w:color w:val="3A4A28"/>
          <w:sz w:val="20"/>
        </w:rPr>
        <w:t>Union Pacific-Norfolk Southern merger approval creating a 50,000+ mile coast-to-coast competitor with pricing and service advantages CSX cannot match on its regional network</w:t>
      </w:r>
    </w:p>
    <w:p>
      <w:pPr>
        <w:spacing w:before="40" w:after="40"/>
        <w:ind w:left="283"/>
      </w:pPr>
      <w:r>
        <w:rPr>
          <w:rFonts w:ascii="Calibri" w:hAnsi="Calibri"/>
          <w:b/>
          <w:color w:val="4A6B25"/>
          <w:sz w:val="20"/>
        </w:rPr>
        <w:t xml:space="preserve">3. </w:t>
      </w:r>
      <w:r>
        <w:rPr>
          <w:rFonts w:ascii="Calibri" w:hAnsi="Calibri"/>
          <w:b w:val="0"/>
          <w:color w:val="3A4A28"/>
          <w:sz w:val="20"/>
        </w:rPr>
        <w:t>Economic slowdown compressing merchandise and intermodal freight volumes against a 138% D/E capital structure built for a growth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Railroad freight transportation remains structurally immune to AI disruption — physical rail infrastructure, locomotive operations, and movement of bulk and intermodal freight across 20,000 route miles require real-world assets AI cannot substitute [1]. Fully autonomous freight rail exists only in early pilot form (e.g., the FRA-cleared Parallel Systems 'robotrain' testing on two small Georgia short lines), far from displacing Class I railroads, and CSX operates within a natural oligopoly with irreplaceable right-of-way [3]. AI is a demand tailwind, not a threat: rising fuel and labor costs make rail's efficiency advantage over trucking more compelling, and CSX is deploying AI internally (edge computing for real-time decisions, autonomous drone inspections, RailPulse digitization, Microsoft's 'AI Railroad Brain') to improve safety and reliability [3]. AI Opportunity (0/1): CSX does not generate revenue from AI products or services — its AI use is entirely internal to operations, safety, and maintenance, not a monetized offering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CSX Corporation Q2 2026 Earnings Release — Record Revenue $3.94B (+10.1%), Operating Margin 38.3%, August 2026</w:t>
      </w:r>
    </w:p>
    <w:p>
      <w:pPr>
        <w:spacing w:before="20" w:after="20"/>
        <w:ind w:left="170"/>
      </w:pPr>
      <w:r>
        <w:rPr>
          <w:rFonts w:ascii="Calibri" w:hAnsi="Calibri"/>
          <w:b/>
          <w:color w:val="4A6B25"/>
          <w:sz w:val="15"/>
        </w:rPr>
        <w:t xml:space="preserve">2. </w:t>
      </w:r>
      <w:r>
        <w:rPr>
          <w:rFonts w:ascii="Calibri" w:hAnsi="Calibri"/>
          <w:b w:val="0"/>
          <w:color w:val="3A4A28"/>
          <w:sz w:val="17"/>
        </w:rPr>
        <w:t>Wabtec / CSX — $670 Million Locomotive Fleet Modernization Deal, 2025-2026</w:t>
      </w:r>
    </w:p>
    <w:p>
      <w:pPr>
        <w:spacing w:before="20" w:after="20"/>
        <w:ind w:left="170"/>
      </w:pPr>
      <w:r>
        <w:rPr>
          <w:rFonts w:ascii="Calibri" w:hAnsi="Calibri"/>
          <w:b/>
          <w:color w:val="4A6B25"/>
          <w:sz w:val="15"/>
        </w:rPr>
        <w:t xml:space="preserve">3. </w:t>
      </w:r>
      <w:r>
        <w:rPr>
          <w:rFonts w:ascii="Calibri" w:hAnsi="Calibri"/>
          <w:b w:val="0"/>
          <w:color w:val="3A4A28"/>
          <w:sz w:val="17"/>
        </w:rPr>
        <w:t>Klover.ai / Microsoft Cloud Blog / FlytBase — CSX AI Strategy, 'AI Railroad Brain', Autonomous Drone Rail Inspection, RailPulse Digitization, 2026</w:t>
      </w:r>
    </w:p>
    <w:p>
      <w:pPr>
        <w:spacing w:before="20" w:after="20"/>
        <w:ind w:left="170"/>
      </w:pPr>
      <w:r>
        <w:rPr>
          <w:rFonts w:ascii="Calibri" w:hAnsi="Calibri"/>
          <w:b/>
          <w:color w:val="4A6B25"/>
          <w:sz w:val="15"/>
        </w:rPr>
        <w:t xml:space="preserve">4. </w:t>
      </w:r>
      <w:r>
        <w:rPr>
          <w:rFonts w:ascii="Calibri" w:hAnsi="Calibri"/>
          <w:b w:val="0"/>
          <w:color w:val="3A4A28"/>
          <w:sz w:val="17"/>
        </w:rPr>
        <w:t>FreightWaves / American-Rails — CSX Q2 2026 Guidance Raise: Revenue Growth, Margin Expansion, FCF Growth Targets, 2026</w:t>
      </w:r>
    </w:p>
    <w:p>
      <w:pPr>
        <w:spacing w:before="20" w:after="20"/>
        <w:ind w:left="170"/>
      </w:pPr>
      <w:r>
        <w:rPr>
          <w:rFonts w:ascii="Calibri" w:hAnsi="Calibri"/>
          <w:b/>
          <w:color w:val="4A6B25"/>
          <w:sz w:val="15"/>
        </w:rPr>
        <w:t xml:space="preserve">5. </w:t>
      </w:r>
      <w:r>
        <w:rPr>
          <w:rFonts w:ascii="Calibri" w:hAnsi="Calibri"/>
          <w:b w:val="0"/>
          <w:color w:val="3A4A28"/>
          <w:sz w:val="17"/>
        </w:rPr>
        <w:t>CSX Corporate Website — Mission and Sustainability; CSX ESG Report — Dow Jones Sustainability Index Membership</w:t>
      </w:r>
    </w:p>
    <w:p>
      <w:pPr>
        <w:spacing w:before="20" w:after="20"/>
        <w:ind w:left="170"/>
      </w:pPr>
      <w:r>
        <w:rPr>
          <w:rFonts w:ascii="Calibri" w:hAnsi="Calibri"/>
          <w:b/>
          <w:color w:val="4A6B25"/>
          <w:sz w:val="15"/>
        </w:rPr>
        <w:t xml:space="preserve">6. </w:t>
      </w:r>
      <w:r>
        <w:rPr>
          <w:rFonts w:ascii="Calibri" w:hAnsi="Calibri"/>
          <w:b w:val="0"/>
          <w:color w:val="3A4A28"/>
          <w:sz w:val="17"/>
        </w:rPr>
        <w:t>Gothamist / WSAZ / Simply Wall St News — CSX Derailments: North Bergen NJ (April 2026), Pennsylvania (June 2026), South Charleston WV (August 2026)</w:t>
      </w:r>
    </w:p>
    <w:p>
      <w:pPr>
        <w:spacing w:before="20" w:after="20"/>
        <w:ind w:left="170"/>
      </w:pPr>
      <w:r>
        <w:rPr>
          <w:rFonts w:ascii="Calibri" w:hAnsi="Calibri"/>
          <w:b/>
          <w:color w:val="4A6B25"/>
          <w:sz w:val="15"/>
        </w:rPr>
        <w:t xml:space="preserve">7. </w:t>
      </w:r>
      <w:r>
        <w:rPr>
          <w:rFonts w:ascii="Calibri" w:hAnsi="Calibri"/>
          <w:b w:val="0"/>
          <w:color w:val="3A4A28"/>
          <w:sz w:val="17"/>
        </w:rPr>
        <w:t>QuiverQuant / StockTitan SEC Form 4 Filings — CEO Stephen Angel Insider Stock Purchases, 2025-2026</w:t>
      </w:r>
    </w:p>
    <w:p>
      <w:pPr>
        <w:spacing w:before="20" w:after="20"/>
        <w:ind w:left="170"/>
      </w:pPr>
      <w:r>
        <w:rPr>
          <w:rFonts w:ascii="Calibri" w:hAnsi="Calibri"/>
          <w:b/>
          <w:color w:val="4A6B25"/>
          <w:sz w:val="15"/>
        </w:rPr>
        <w:t xml:space="preserve">8. </w:t>
      </w:r>
      <w:r>
        <w:rPr>
          <w:rFonts w:ascii="Calibri" w:hAnsi="Calibri"/>
          <w:b w:val="0"/>
          <w:color w:val="3A4A28"/>
          <w:sz w:val="17"/>
        </w:rPr>
        <w:t>StockAnalysis.com — CSX Key Statistics and Financial Ratios, accessed August 2026</w:t>
      </w:r>
    </w:p>
    <w:p>
      <w:pPr>
        <w:spacing w:before="20" w:after="20"/>
        <w:ind w:left="170"/>
      </w:pPr>
      <w:r>
        <w:rPr>
          <w:rFonts w:ascii="Calibri" w:hAnsi="Calibri"/>
          <w:b/>
          <w:color w:val="4A6B25"/>
          <w:sz w:val="15"/>
        </w:rPr>
        <w:t xml:space="preserve">9. </w:t>
      </w:r>
      <w:r>
        <w:rPr>
          <w:rFonts w:ascii="Calibri" w:hAnsi="Calibri"/>
          <w:b w:val="0"/>
          <w:color w:val="3A4A28"/>
          <w:sz w:val="17"/>
        </w:rPr>
        <w:t>Dealroom / TIKR / WWD — Union Pacific-Norfolk Southern $85B Merger, Surface Transportation Board Review Status,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