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CVI</w:t>
      </w:r>
      <w:r>
        <w:rPr>
          <w:rFonts w:ascii="Calibri" w:hAnsi="Calibri"/>
          <w:b/>
          <w:color w:val="1A2010"/>
          <w:sz w:val="40"/>
        </w:rPr>
        <w:t xml:space="preserve">  CVR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2026-07-28 · Inspire: 44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Refining &amp; Marketing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CVR Energy, Inc. operates as a diversified holding company with petroleum refining, renewable fuels, and nitrogen fertilizer manufacturing segments. The petroleum segment operates two mid-continent refineries in Coffeyville, Kansas and Wynnewood, Oklahoma with combined throughput capacity of approximately 220,000 barrels per day. The nitrogen fertilizer segment operates through majority-owned CVR Partners, LP, producing ammonia and UAN fertilizer. Controlled by Carl Icahn (~71% ownership). Founded in 2006, headquartered in Sugar Land, Texas.</w:t>
      </w:r>
    </w:p>
    <w:p>
      <w:r>
        <w:rPr>
          <w:rFonts w:ascii="Calibri" w:hAnsi="Calibri"/>
          <w:b/>
          <w:color w:val="6E8450"/>
          <w:sz w:val="18"/>
        </w:rPr>
        <w:t>2,300 Employees · https://www.cvrenergy.com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CVR Energy converted the Wynnewood refinery to produce renewable diesel in 2022, adding an adjacent revenue stream to traditional petroleum refining [2]. However, this was an incremental extension rather than a transformative pivot, and no other significant new products or business model changes have materialized in the last five years. AI Deployment (0/2): No evidence of AI-powered products or quantified AI-driven operational efficiencies reported in earnings calls or public filings [1]. Market Share (0/2): CVR operates two mid-continent refineries with combined capacity of ~220,000 bpd, making it a modest regional player in Group 3 refining without category leadership or meaningful share gains [2]. Product Pipeline (1/2): The Wynnewood Alkylation project and nitrogen fertilizer debottlenecking/feedstock diversification initiatives represent $75-85M in growth capex for 2026, providing some pipeline visibility though limited in scope [2]. R&amp;D Intensity (0/1): Refining companies operate well below industry-average R&amp;D intensity as a percentage of revenue; CVR does not report material R&amp;D spending.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CVR Energy's stated purpose is generic — focused on safe, reliable operations and delivering value through petroleum refining, renewable fuels, and nitrogen fertilizer manufacturing. The mission is interchangeable with any mid-continent refiner and does not articulate a deeper purpose beyond operational execution [3]. Community Impact (0/2): No specific charitable programs, foundation, or community investment initiatives identified beyond standard corporate operations in the Coffeyville and Wynnewood communities. Employee Retention (0/2): No specific retention, tenure, or turnover data publicly reported. The CEO transition from Mark Pytosh to Dane Neumann in June 2026 introduced leadership instability, and Icahn-controlled entities historically exhibit higher executive turnover [3]. Insider Buying (1/2): Carl Icahn maintains a controlling ~71% stake in CVR Energy, representing significant insider alignment, though this reflects long-standing ownership rather than recent net insider purchasing activity.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331.6% exceeds the 300% scoring floor, reflecting CVR's highly leveraged capital structure with significant refinery and fertilizer debt obligations [1]. ROE of 4.65% is well below the 15% target, dragged down by thin margins and heavy capital requirements. TTM revenue of ~$7.2B represents a -5.9% decline from 2024's $7.61B as refining margins compressed from 2022-2023 peaks [1][2]. Profit margin of ~0.5% reflects the volatile, commodity-driven nature of refining — Q1 2026 posted a $160M net loss on $1.98B revenue due to $158M in unrealized derivative losses and $143M RIN expense [1]. Forward P/E of ~22.5 based on consensus $1.53 EPS for 2026 is reasonable if margins recover. Bright spot: $512M cash and $923M total liquidity provide operational buffer despite the leveraged balance sheet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CVR Energy under Carl Icahn's ~71% controlling interest operates fundamentally as a value-extraction vehicle rather than a purpose-driven enterprise. The company has cycled through leadership changes — Mark Pytosh replaced by Dane Neumann as CEO in June 2026 — and historically distributed massive special dividends ($7.38/share in 2021) during favorable refining cycles while cutting to $0.10/share when margins compressed [3]. Strategic decisions are driven by commodity cycles and financial engineering rather than a long-term Just Cause. The renewable diesel conversion at Wynnewood represents the one genuine strategic adaptation, though it was driven more by regulatory incentive (RIN credit capture) than by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Just Cause evident beyond financial returns. CVR Energy does not articulate a vision of a future state or a purpose beyond refining margins and shareholder distributions. Under Icahn's controlling ownership, the company operates as a financial vehicle — strategic decisions are driven by commodity cycles, cost optimization, and capital return timing rather than an enduring purpose that would survive a change in ownership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turnover from Mark Pytosh to Dane Neumann in June 2026, combined with Icahn's activist ownership style that prioritizes financial returns over organizational stability, creates an environment of uncertainty [3]. No evidence of employee empowerment programs, exceptional tenure, or cultural practices that create psychological safety. The company's senior management approval and positive business outlook trail industry averages.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acknowledging competitors' strengths as motivation for self-improvement. CVR Energy's competitive language focuses on operational cost management, Group 3 crack spread positioning, and regulatory compliance costs (RIN expense management) rather than learning from industry peers or being inspired by rivals' capabilities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CVR converted the Wynnewood refinery to produce renewable diesel, entering the biofuels market as an evolution from pure petroleum refining [2]. The nitrogen fertilizer debottlenecking and feedstock diversification initiatives represent additional adaptation. However, these were incremental — the company remains fundamentally a mid-continent refiner and fertilizer producer, and the renewable diesel pivot was driven by regulatory incentive structure (RIN credits) rather than a purpose-driven strategic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accelerated deleveraging — prepaying $75M of the senior secured term loan and targeting $1B gross debt reduction — demonstrates willingness to prioritize balance sheet strength over immediate shareholder distributions [4]. The $200-240M 2026 capex guidance for maintenance and growth represents ongoing investment in operational capability [2]. However, this was driven by financial necessity after volatile margins rather than principled long-term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CVR Energy offers exposure to mid-continent refining and nitrogen fertilizer at a depressed valuation following weak 2025-2026 refining margins. Q1 2026 revenue of $1.98B (+15% vs prior year period) signals a throughput recovery with crude utilization reaching 97% of capacity, and the fertilizer segment delivered $78M adjusted EBITDA on 103% ammonia utilization [1]. The accelerated deleveraging — $75M term loan prepayment bringing principal to $165M — combined with $512M cash and $923M total liquidity positions the company for margin recovery [4]. Full-year 2026 consensus EPS of $1.53 implies a forward P/E of ~22.5 with potential upside if Group 3 crack spreads widen from Q1 lows.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CVR Energy's capital structure remains strained with 331.6% debt-to-equity and TTM profit margin near zero, reflecting the company's acute vulnerability to refining margin compression and the persistent $143M annual RIN expense headwind under the Renewable Fuel Standard [1]. The Q1 2026 net loss of $160M — driven by $158M in unrealized derivative losses — illustrates the earnings volatility inherent in Icahn-controlled refining vehicles. Leadership instability (CEO transition from Pytosh to Neumann in June 2026), a collapsing dividend from $7.38/share (2021) to $0.40/share (2026), and no competitive moat beyond Group 3 geographic positioning create a risk profile that outweighs the valuation discount. The company faces secular headwinds from EV adoption reducing gasoline demand and tightening environmental regulations on refining emissions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Group 3 crack spread widening from Q1 2026 lows could drive significant earnings leverage with 97% utilization already demonstrated and $1.53 consensus EPS heavily dependent on margin recovery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Successful completion of the Wynnewood Alkylation project and fertilizer debottlenecking could unlock incremental throughput and higher-value product yields in H2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deleveraging toward the $1B gross debt target could improve credit profile and reduce interest expense, freeing cash for resumed shareholder distributions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refining margin compression in the mid-continent with Group 3 crack spreads below $15/bbl would prevent the earnings recovery embedded in the $1.53 consensus EPS forecast, extending the period of near-zero profitability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RFS compliance costs ($143M RIN expense in Q1 2026 alone at $7.37/bbl) represent a structural headwind that competitors with integrated renewable operations can offset more effectively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instability under Icahn's activist control — two CEO changes in 18 months — creates execution risk for the $200-240M capex program and strategic continuity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CVR Energy's core operations — petroleum refining at 220,000 bpd capacity and nitrogen fertilizer manufacturing — involve complex physical-chemical processes, heavy industrial infrastructure, and regulated environmental operations that AI structurally cannot displace [2]. Refining crude oil into gasoline, diesel, and petrochemicals requires catalytic cracking, distillation, and material handling that exist entirely outside the domain of software automation. AI-driven growth in data center power consumption may provide a modest tailwind for fossil fuel demand [4]. No analyst commentary identifies AI as a substitution risk for refining or fertilizer production. AI Opportunity (0/1): No evidence of AI-powered products or services generating revenue. CVR has not disclosed any meaningful AI deployment or AI-driven revenue streams in earnings calls or filings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CVR Energy Q1 2026 Earnings Release and 10-Q Filing — BusinessWire / StockTitan,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CVR Energy Full Year 2025 Results and 2026 Capex Plans — 8-K Filing,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CVR Energy and CVR Partners Leadership Changes Announcement — Investor Relations,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Simply Wall St / Sahm Capital — CVR Energy Risk Profile and Deleveraging Analysis,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CVI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