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CYH</w:t>
      </w:r>
      <w:r>
        <w:rPr>
          <w:rFonts w:ascii="Calibri" w:hAnsi="Calibri"/>
          <w:b/>
          <w:color w:val="1A2010"/>
          <w:sz w:val="40"/>
        </w:rPr>
        <w:t xml:space="preserve">  Community Health Systems, Inc.</w:t>
      </w:r>
    </w:p>
    <w:p>
      <w:pPr>
        <w:spacing w:after="120"/>
      </w:pPr>
      <w:r>
        <w:rPr>
          <w:rFonts w:ascii="Calibri" w:hAnsi="Calibri"/>
          <w:b/>
          <w:color w:val="6E8450"/>
          <w:sz w:val="18"/>
        </w:rPr>
        <w:t>GROWTH SLEEVE · 2026-07-26 · Inspire: 30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Care Facilities · NYSE · United States</w:t>
      </w:r>
    </w:p>
    <w:p>
      <w:pPr>
        <w:spacing w:after="80"/>
      </w:pPr>
      <w:r>
        <w:rPr>
          <w:rFonts w:ascii="Calibri" w:hAnsi="Calibri"/>
          <w:b w:val="0"/>
          <w:color w:val="3A4A28"/>
          <w:sz w:val="20"/>
        </w:rPr>
        <w:t>Community Health Systems owns, leases, and operates general acute care hospitals across the United States, providing emergency, surgical, critical care, obstetric, diagnostic, psychiatric, and rehabilitation services. The company also operates outpatient facilities including urgent care centers, ambulatory surgery centers, and imaging centers. The portfolio has contracted significantly through divestitures as CHS works to service its $10B+ debt load.</w:t>
      </w:r>
    </w:p>
    <w:p>
      <w:r>
        <w:rPr>
          <w:rFonts w:ascii="Calibri" w:hAnsi="Calibri"/>
          <w:b/>
          <w:color w:val="6E8450"/>
          <w:sz w:val="18"/>
        </w:rPr>
        <w:t>44,000 Employees · https://www.chs.net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CHS has undergone significant portfolio rationalization, divesting hospitals over the past five years to reduce its footprint, but this represents contraction rather than innovation — no new service lines, digital health platforms, or transformative business model shifts [1]. Q2 2026 revenue of $2.825B missed estimates by 2.9%, with continued divestitures driving reported revenue declines [1]. AI Deployment (0/2): No evidence of AI-powered clinical products, AI-driven operational efficiencies, or measurable AI deployment results in earnings calls or public communications [1][2]. Market Share (1/2): CHS retains a meaningful position in rural and community hospital markets with same-store admissions rising 2.9% and ER visits up 1.7% in Q2 2026, showing volume recovery in core markets [1]. Pipeline (1/2): Investing in strategic service line expansion and facility improvements, but specific pipeline visibility is limited; revised FY2026 guidance of $11.4-$11.6B revenue reflects continued portfolio contraction [1]. R&amp;D Intensity (0/1): Hospital operators do not invest meaningfully in R&amp;D; capital expenditure is focused on facility maintenance and equipment.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CHS's mission to provide quality healthcare services is generic and interchangeable with any hospital operator — no distinctive purpose or vision beyond standard industry language [3]. Community Impact (1/2): As a hospital operator serving primarily rural and underserved communities, CHS provides essential healthcare access, though the $98.15M False Claims Act settlement for fraudulent billing practices and the $31.5M Fresno Community Health System settlement for false claims violations undermine the community service narrative [4]. Employee Retention (0/2): Glassdoor shows 3.0/5 culture and values, 2.8/5 career opportunities, and only 46% of employees recommend the company; reviews cite 'high turnover because there is no attempt at retention,' 'barely any bonus given, no salary increase year to year,' and 'zero career development' [3]. Insider Buying (0/2): CEO Kevin Hammons received stock award grants (200,000 shares) in February 2026, but these are compensation grants, not open-market purchases signaling personal conviction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CHS operates with deeply negative shareholder equity (-$1.39B) due to $10.1B in total debt, making D/E and ROE incalculable and excluded from scoring [6]. Q2 2026 delivered $2.825B revenue (down 9.8% YoY from $3.133B due to divestitures) with adjusted EBITDA of $330M (down 13.2%) and an EBITDA margin of 11.7% [1]. EPS of -$0.19 missed estimates of -$0.06 by $0.13, driving an 8-12% stock decline [1]. Full-year guidance was lowered to $11.4-$11.6B revenue (from $11.6-$12.0B) and $1.3-$1.375B adjusted EBITDA (from $1.34-$1.49B) [1]. Profit margin is approximately 2.5% (including a one-off $352M gain that inflates reported earnings quality) [1]. The $490M market cap sits beneath $10.1B in debt — a 21x debt-to-market-cap ratio making CYH essentially a leveraged equity stub. Liquidity floor cleared: ~1.73M avg vol x $2.81 = $4.9M daily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CHS exhibits classic finite game characteristics: CEO turnover (Hingtgen departed October 2025, replaced by interim then permanent CEO Hammons), years of asset divestitures to service $10B+ debt, lowered FY2026 guidance, a $98.15M False Claims Act settlement, a $31.5M Fresno settlement, and employee culture described as having high turnover with poor leadership. The company is playing to survive its debt burden, not to endure or advance a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CHS has a stated mission around providing quality healthcare, which is a genuine cause but is articulated in language indistinguishable from any hospital system [3]. The company's strategic narrative is dominated by debt reduction, portfolio rationalization, EBITDA targets, and volume metrics — financial engineering language, not purpose-driven language [1]. No evidence of a vision of a future state that inspires sacrifice or long-term commitment beyond the generic healthcare delivery mission.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describe a low-trust environment: 46% recommend to a friend, 3.0/5 culture and values, 2.8/5 career opportunities [3]. Employees report 'high turnover because there is no attempt at retention,' 'barely any bonus given, no salary increase year to year,' and a culture where 'they don't care about their health care workers' [3]. The October 2025 CEO transition from Hingtgen to Hammons (first interim, then permanent) signals leadership instability. Multiple rounds of hospital divestitures and associated workforce reductions create a fear-based environment.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CHS's competitive language focuses on market positioning, volume metrics, and financial targets rather than learning from rivals. The company competes with HCA Healthcare, Tenet Healthcare, and Universal Health Services but does not publicly acknowledge rivals' strengths as motivation for self-improvement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CHS has been shrinking its hospital portfolio for years through divestitures, but this is defensive restructuring driven by debt burden rather than a visionary pivot in service of a Just Cause. The company clings to the same acute care hospital model it has operated for decades with no evidence of business model transformation — no digital health platform, no value-based care transition, no ambulatory strategy beyond basic urgent care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The dominant strategy is cost reduction, debt paydown, and portfolio shrinkage — optimizing the present rather than investing in the future. FY2026 guidance was lowered across all metrics (revenue, EBITDA) after Q2 2026, reflecting reactive management rather than proactive investment [1]. The $98.15M False Claims Act settlement and $31.5M Fresno settlement suggest a history of prioritizing short-term revenue capture over principled compliance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CYH trades at a deeply discounted ~$490M market cap on guided FY2026 revenue of $11.4-$11.6B, with same-store admissions rising 2.9% and ER visits up 1.7% in Q2 2026 demonstrating underlying volume recovery in community hospital markets [1][6]. Same-store net operating revenue increased 2.4% for Q2 2026, suggesting the core retained portfolio has organic growth. Guided adjusted EBITDA of $1.3-$1.375B and operating cash flow could support continued debt reduction. The rural and community hospital franchise provides essential healthcare infrastructure in markets with limited competition — patients cannot choose another hospital when CHS is the only provider within 50 miles.</w:t>
      </w:r>
    </w:p>
    <w:p>
      <w:pPr>
        <w:spacing w:after="120"/>
      </w:pPr>
      <w:r>
        <w:rPr>
          <w:rFonts w:ascii="Calibri" w:hAnsi="Calibri"/>
          <w:b w:val="0"/>
          <w:color w:val="3A4A28"/>
          <w:sz w:val="20"/>
        </w:rPr>
        <w:t>The bear case is overwhelming and supports a SELL recommendation. The $10.1B debt load against negative equity of -$1.39B creates a 21x debt-to-market-cap ratio, making CYH essentially a leveraged option that can be wiped out by any sustained earnings deterioration [6]. Q2 2026 missed estimates across the board — revenue $2.825B vs. $2.91B expected, EPS -$0.19 vs. -$0.06 expected — as the company absorbed a wave of uninsured patients and experienced weakness in higher-margin elective procedures [1]. Adjusted EBITDA declined 13.2% to $330M and full-year guidance was lowered on all metrics. The $352M one-off gain in recent results inflates reported earnings quality and masks the underlying operating deterioration [1]. Employee culture is toxic (46% recommend, high turnover), legal liabilities persist ($98.15M False Claims settlement, $31.5M Fresno settlement), and CEO Hammons faces the unenviable task of managing a shrinking portfolio under crushing leverage [3][4]. Negative book value means equity holders are structurally subordinate to $10.1B in creditor claims.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Same-store volume recovery — admissions up 2.9% and ER visits up 1.7% in Q2 2026 demonstrate underlying demand in community hospital markets, though not yet translating to profitability [1]</w:t>
      </w:r>
    </w:p>
    <w:p>
      <w:pPr>
        <w:spacing w:before="40" w:after="40"/>
        <w:ind w:left="283"/>
      </w:pPr>
      <w:r>
        <w:rPr>
          <w:rFonts w:ascii="Calibri" w:hAnsi="Calibri"/>
          <w:b/>
          <w:color w:val="4A6B25"/>
          <w:sz w:val="20"/>
        </w:rPr>
        <w:t xml:space="preserve">2. </w:t>
      </w:r>
      <w:r>
        <w:rPr>
          <w:rFonts w:ascii="Calibri" w:hAnsi="Calibri"/>
          <w:b w:val="0"/>
          <w:color w:val="3A4A28"/>
          <w:sz w:val="20"/>
        </w:rPr>
        <w:t>Debt reduction through continued divestitures and operating cash flow, potentially improving the equity stub's risk profile if EBITDA stabilizes at the $1.3-$1.375B guided level [1]</w:t>
      </w:r>
    </w:p>
    <w:p>
      <w:pPr>
        <w:spacing w:before="40" w:after="40"/>
        <w:ind w:left="283"/>
      </w:pPr>
      <w:r>
        <w:rPr>
          <w:rFonts w:ascii="Calibri" w:hAnsi="Calibri"/>
          <w:b/>
          <w:color w:val="4A6B25"/>
          <w:sz w:val="20"/>
        </w:rPr>
        <w:t xml:space="preserve">3. </w:t>
      </w:r>
      <w:r>
        <w:rPr>
          <w:rFonts w:ascii="Calibri" w:hAnsi="Calibri"/>
          <w:b w:val="0"/>
          <w:color w:val="3A4A28"/>
          <w:sz w:val="20"/>
        </w:rPr>
        <w:t>Portfolio optimization completion — once divestitures stabilize, the remaining hospital portfolio may demonstrate stronger organic growth and margins with a more focused operational footprint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$10.1B debt load against negative equity of -$1.39B creates existential refinancing risk — any deterioration in hospital operations, tightening credit markets, or interest rate increases could threaten solvency [6]</w:t>
      </w:r>
    </w:p>
    <w:p>
      <w:pPr>
        <w:spacing w:before="40" w:after="40"/>
        <w:ind w:left="283"/>
      </w:pPr>
      <w:r>
        <w:rPr>
          <w:rFonts w:ascii="Calibri" w:hAnsi="Calibri"/>
          <w:b/>
          <w:color w:val="4A6B25"/>
          <w:sz w:val="20"/>
        </w:rPr>
        <w:t xml:space="preserve">2. </w:t>
      </w:r>
      <w:r>
        <w:rPr>
          <w:rFonts w:ascii="Calibri" w:hAnsi="Calibri"/>
          <w:b w:val="0"/>
          <w:color w:val="3A4A28"/>
          <w:sz w:val="20"/>
        </w:rPr>
        <w:t>Q2 2026 earnings miss (EPS -$0.19 vs. -$0.06 est) and lowered FY2026 guidance reflect rising uninsured patient volumes and weakness in higher-margin elective procedures, with adjusted EBITDA declining 13.2% YoY [1]</w:t>
      </w:r>
    </w:p>
    <w:p>
      <w:pPr>
        <w:spacing w:before="40" w:after="40"/>
        <w:ind w:left="283"/>
      </w:pPr>
      <w:r>
        <w:rPr>
          <w:rFonts w:ascii="Calibri" w:hAnsi="Calibri"/>
          <w:b/>
          <w:color w:val="4A6B25"/>
          <w:sz w:val="20"/>
        </w:rPr>
        <w:t xml:space="preserve">3. </w:t>
      </w:r>
      <w:r>
        <w:rPr>
          <w:rFonts w:ascii="Calibri" w:hAnsi="Calibri"/>
          <w:b w:val="0"/>
          <w:color w:val="3A4A28"/>
          <w:sz w:val="20"/>
        </w:rPr>
        <w:t>Legal liabilities including $98.15M False Claims Act settlement, $31.5M Fresno false claims settlement, and toxic employee culture (46% Glassdoor recommend, high turnover) create ongoing operational and reputational risk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Hospital operations are structurally immune to AI disruption — acute care, emergency medicine, surgery, obstetrics, and critical care require physical facilities, licensed clinicians, and hands-on patient interaction that AI cannot substitute [2]. CHS's core business of operating community hospitals in underserved markets faces zero substitution risk from AI. Regulatory requirements (CMS, state licensing, JCAHO accreditation) create additional barriers to disruption. AI may modestly improve operational efficiency (clinical decision support, scheduling optimization, revenue cycle management, diagnostic aids) but these are incremental enhancers, not business model threats [2]. AI Opportunity (0/1): No evidence of meaningful AI-generated revenue or deployed AI products. CHS has not reported AI-driven cost savings or launched AI-powered clinical services; technology focus remains on basic EHR and operational systems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Community Health Systems Q2 2026 Earnings — revenue $2.825B (down 9.8% reported, +2.4% same-store), adj EBITDA $330M (down 13.2%), EPS -$0.19, guidance lowered, July 22, 2026</w:t>
      </w:r>
    </w:p>
    <w:p>
      <w:pPr>
        <w:spacing w:before="20" w:after="20"/>
        <w:ind w:left="170"/>
      </w:pPr>
      <w:r>
        <w:rPr>
          <w:rFonts w:ascii="Calibri" w:hAnsi="Calibri"/>
          <w:b/>
          <w:color w:val="4A6B25"/>
          <w:sz w:val="15"/>
        </w:rPr>
        <w:t xml:space="preserve">2. </w:t>
      </w:r>
      <w:r>
        <w:rPr>
          <w:rFonts w:ascii="Calibri" w:hAnsi="Calibri"/>
          <w:b w:val="0"/>
          <w:color w:val="3A4A28"/>
          <w:sz w:val="17"/>
        </w:rPr>
        <w:t>Healthcare industry AI transformation trends — ECRI patient safety concerns, Premier Inc AI governance guidance, general sector analysis, 2026</w:t>
      </w:r>
    </w:p>
    <w:p>
      <w:pPr>
        <w:spacing w:before="20" w:after="20"/>
        <w:ind w:left="170"/>
      </w:pPr>
      <w:r>
        <w:rPr>
          <w:rFonts w:ascii="Calibri" w:hAnsi="Calibri"/>
          <w:b/>
          <w:color w:val="4A6B25"/>
          <w:sz w:val="15"/>
        </w:rPr>
        <w:t xml:space="preserve">3. </w:t>
      </w:r>
      <w:r>
        <w:rPr>
          <w:rFonts w:ascii="Calibri" w:hAnsi="Calibri"/>
          <w:b w:val="0"/>
          <w:color w:val="3A4A28"/>
          <w:sz w:val="17"/>
        </w:rPr>
        <w:t>Glassdoor Reviews — Community Health Systems: 46% recommend, 3.0/5 culture and values, 2.8/5 career, high turnover cited,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DOJ — Community Health Systems $98.15M False Claims Act settlement; Fresno Community Health $31.5M false claims settlement,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SEC Form 4 — CEO Kevin Hammons 200,000 share stock award grants, February 2026</w:t>
      </w:r>
    </w:p>
    <w:p>
      <w:pPr>
        <w:spacing w:before="20" w:after="20"/>
        <w:ind w:left="170"/>
      </w:pPr>
      <w:r>
        <w:rPr>
          <w:rFonts w:ascii="Calibri" w:hAnsi="Calibri"/>
          <w:b/>
          <w:color w:val="4A6B25"/>
          <w:sz w:val="15"/>
        </w:rPr>
        <w:t xml:space="preserve">6. </w:t>
      </w:r>
      <w:r>
        <w:rPr>
          <w:rFonts w:ascii="Calibri" w:hAnsi="Calibri"/>
          <w:b w:val="0"/>
          <w:color w:val="3A4A28"/>
          <w:sz w:val="17"/>
        </w:rPr>
        <w:t>StockAnalysis.com / Yahoo Finance — CYH stock $2.81, market cap ~$490M, debt $10.1B, negative equity -$1.39B,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