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w:t>
      </w:r>
      <w:r>
        <w:rPr>
          <w:rFonts w:ascii="Calibri" w:hAnsi="Calibri"/>
          <w:b/>
          <w:color w:val="1A2010"/>
          <w:sz w:val="40"/>
        </w:rPr>
        <w:t xml:space="preserve">  Deere &amp; Company</w:t>
      </w:r>
    </w:p>
    <w:p>
      <w:pPr>
        <w:spacing w:after="120"/>
      </w:pPr>
      <w:r>
        <w:rPr>
          <w:rFonts w:ascii="Calibri" w:hAnsi="Calibri"/>
          <w:b/>
          <w:color w:val="6E8450"/>
          <w:sz w:val="18"/>
        </w:rPr>
        <w:t>GROWTH SLEEVE · 2026-07-26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Farm &amp; Heavy Construction Machinery · NYSE · United States</w:t>
      </w:r>
    </w:p>
    <w:p>
      <w:pPr>
        <w:spacing w:after="80"/>
      </w:pPr>
      <w:r>
        <w:rPr>
          <w:rFonts w:ascii="Calibri" w:hAnsi="Calibri"/>
          <w:b w:val="0"/>
          <w:color w:val="3A4A28"/>
          <w:sz w:val="20"/>
        </w:rPr>
        <w:t>Deere &amp; Company manufactures and distributes agricultural, construction, forestry, and turf care equipment worldwide. The company operates through Production &amp; Precision Ag, Small Ag &amp; Turf, Construction &amp; Forestry, and Financial Products segments. Deere is the dominant global leader in precision agriculture technology, autonomous machinery, and AI-powered farming solutions, with 189 years of continuous operation.</w:t>
      </w:r>
    </w:p>
    <w:p>
      <w:r>
        <w:rPr>
          <w:rFonts w:ascii="Calibri" w:hAnsi="Calibri"/>
          <w:b/>
          <w:color w:val="6E8450"/>
          <w:sz w:val="18"/>
        </w:rPr>
        <w:t>73,100 Employees · https://www.deere.com/en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Deere has transformed from a traditional equipment manufacturer into a precision agriculture technology leader. Autonomy 2.0 entered full release in 2026 for tillage applications, See &amp; Spray AI-powered weed detection is deployed across the sprayer fleet reducing herbicide use up to 77%, and the company is committed to fully autonomous corn and soybean production cycles by 2030 [1][2]. Q2 FY2026 showed Construction &amp; Forestry revenue surging 29% and Small Ag &amp; Turf up 16%, demonstrating execution across segments [1]. AI Deployment (2/2): Deere partnered with OpenAI to deploy AI across customer success teams, dealer operations, and internal data science [2]. See &amp; Spray uses computer vision to identify individual weeds and apply herbicide precisely. Prescriptive AI advises farmers on planting decisions. AI-powered fleet management and predictive maintenance generate measurable efficiency gains [2]. Market Share (1/2): Deere holds approximately 60% market share in North American large tractors and combines — dominant but faces competition from AGCO, CNH Industrial, and Kubota globally [1]. Pipeline (1/2): Autonomous 9RX tractor advancing, Autonomy 2.0 in full 2026 release, prescriptive AI development, and continued precision agriculture platform expansion — specific products with clear timelines [2]. R&amp;D Intensity (1/1): Deere invests aggressively in AI, autonomy, and precision technology through internal development and strategic acquisitions ($305M Blue River Technology), outpacing agricultural equipment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Deere's purpose — 'We run so life can leap forward' — is specific, thoughtful, and connects the company's work to the challenge of feeding a growing global population sustainably [2]. Validated by 189 years of consistent commitment to agricultural innovation and equipment excellence. The purpose has survived multiple leadership transitions and crises, though the formulation itself is relatively recent. Community Impact (2/2): Deere employs 73,100 people, supports agricultural communities globally, and its precision agriculture technology directly addresses food security and environmental sustainability — See &amp; Spray reduces herbicide use 77%, reducing chemical runoff and soil degradation [2][3]. The John Deere Foundation makes substantial community investments in education and workforce development. Employee Retention (1/2): Glassdoor rating of 4.0/5.0 with 78% recommending the company is solid for a 73,100-person manufacturer [2]. Reviews cite strong benefits and culture but flag concerns about recent layoffs, a top-down management style, and institutional resistance to change ('not a good company to work at if you have good ideas or embrace change') [2]. Insider Buying (1/2): CEO John May exercised options and sold $20.8M in shares in January 2026, and officer Cory Reed sold $6.1M — net insider selling [2]. However, $635M returned to shareholders in Q2 FY2026 via buybacks and dividends demonstrates capital allocation conviction, and 53+ consecutive years of dividend payments signal long-term commitment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Deere's financials reflect a company navigating through an agricultural equipment cycle trough. Q2 FY2026 delivered $13.37B revenue (up 5%) with net income of $1.773B (down 2%), while Construction &amp; Forestry surged 29% and Small Ag &amp; Turf grew 16% — offsetting a 14% decline in Production &amp; Precision Ag [1]. D/E of 376% scores at the floor due to John Deere Financial's captive lending operations, which structurally inflate balance sheet leverage beyond what the manufacturing operations warrant [4]. ROE of 18.2% remains strong despite the cyclical downturn. Forward P/E of 25.84 and PEG of 2.24 embed significant recovery expectations. Profit margin of 10.1% has compressed from cycle-peak levels above 16%. Full-year FY2026 net income guidance of $4.5B-$5.0B was maintained after Q2, suggesting management confidence in second-half improvement [1]. The FTC right-to-repair settlement (10-year requirement to provide repair tools/software to owners and independent shops) and $99M class-action settlement represent manageable one-time costs but structural aftermarket revenue risk [3]. Liquidity floor easily cleared: 1.54M avg vol x $607.33 = $936M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Deere is a textbook infinite game player — 189 years of continuous operation through wars, depressions, and technological revolutions. The transformation from a blacksmith shop to an AI-powered precision agriculture leader demonstrates consistent evolution in service of a durable purpose: helping farmers feed the world more efficiently. CEO John May's commitment to fully autonomous farming by 2030, the willingness to accept the $99M right-to-repair settlement (choosing pragmatic resolution over endless litigation), and $635M returned to shareholders in Q2 FY2026 show a company playing for the next generation, not the next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'We run so life can leap forward' is backed by 189 years of consistent execution — from John Deere's first self-scouring steel plow in 1837 to autonomous AI-powered tractors in 2026 [2]. The purpose has survived multiple leadership transitions, world wars, the Great Depression, and every agricultural cycle. Strategic decisions trace directly to this cause: the $305M Blue River Technology acquisition, the commitment to autonomous farming by 2030, Autonomy 2.0 full release in 2026, and See &amp; Spray reducing herbicide use 77% all connect to making agriculture more productive and sustainable [2]. Sinek would cite Deere as a canonical example of a validated Just Cause that IS the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Glassdoor's 4.0/5.0 rating and 78% recommendation rate are solid for a 73,100-person manufacturer [2]. The John Deere Fellows Program (established 2015) recognizes individual contributors to groundbreaking products, and dedicated innovation hubs for AI, precision agriculture, and autonomous equipment demonstrate organizational investment in talent. However, reviews flag concerning patterns: 'not a good company to work at if you have good ideas or embrace change,' recent layoffs, and a management style described as 'solidly entrenched and will not change or adapt to the 21st century' [2]. Leadership continuity under CEO May is stable, but the culture appears top-down rather than empowering.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Deere explicitly states it does not 'create tech for tech's sake' and benchmarks against AGCO, CNH Industrial, and precision agriculture startups to ensure its technology solves real farmer problems [2]. The partnership with OpenAI rather than building all AI in-house demonstrates willingness to leverage external strengths. Management frames competitive dynamics as motivation to improve rather than rivals to destroy. The FTC right-to-repair settlement — choosing pragmatic resolution and opening repair tools to farmers rather than fighting indefinitely — reflects an infinite game mindset of serving the farmer relationship over protecting a revenue stream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Deere has evolved meaningfully from pure equipment manufacturing to a technology-enabled precision agriculture platform with software subscriptions, data analytics, autonomous machinery, and AI-powered decision tools [2]. The Blue River Technology acquisition, See &amp; Spray deployment, Autonomy 2.0, and prescriptive AI represent genuine capability expansion. However, the core business model of manufacturing and selling large equipment through a dealer network has remained fundamentally unchanged for decades — the company is enhancing its model with technology, not transforming the business model itself.</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Deere's $305M acquisition of Blue River Technology in 2017 was a bold bet on AI in agriculture when most peers were skeptical [2]. The commitment to fully autonomous farming by 2030 — including Autonomy 2.0 full release in 2026 — represents massive long-term investment that may cannibalize traditional equipment sales (one autonomous tractor doing the work of two conventional ones). Investing through the current agricultural downturn rather than cutting R&amp;D demonstrates willingness to sacrifice near-term earnings for future capability. The acceptance of the $99M right-to-repair settlement and FTC consent order — choosing farmer relationships over aftermarket revenue protection — exemplifies choosing right over easy [3]. The company maintained dividend growth through the cycle trough, returning $635M to shareholders in Q2 alone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Deere is a generational franchise positioned at the intersection of agriculture and AI, with 189 years of brand equity, ~60% North American large equipment market share, and a transformative precision agriculture platform [1][2]. Q2 FY2026 delivered $13.37B revenue (up 5%) with Construction &amp; Forestry surging 29% and Small Ag &amp; Turf up 16%, signaling cyclical recovery in key segments [1]. Net income of $1.773B and maintained full-year guidance of $4.5B-$5.0B demonstrate operational stability. Autonomy 2.0 entered full release in 2026, See &amp; Spray AI weed detection reduces herbicide 77%, and the OpenAI partnership positions Deere to capture recurring software/subscription revenue on top of equipment sales [2]. ROE of 18.2%, 53+ consecutive years of dividends, 15.3% five-year dividend CAGR, and $635M returned to shareholders in Q2 demonstrate durable capital allocation discipline [1][4].</w:t>
      </w:r>
    </w:p>
    <w:p>
      <w:pPr>
        <w:spacing w:after="120"/>
      </w:pPr>
      <w:r>
        <w:rPr>
          <w:rFonts w:ascii="Calibri" w:hAnsi="Calibri"/>
          <w:b w:val="0"/>
          <w:color w:val="3A4A28"/>
          <w:sz w:val="20"/>
        </w:rPr>
        <w:t>The bear case rests on valuation, right-to-repair structural impact, and cyclical risk. Forward P/E of 25.84 and PEG of 2.24 embed significant recovery expectations; Production &amp; Precision Ag revenue declined 14% in Q2 FY2026 and the agricultural equipment cycle may have a longer trough than consensus expects [1][4]. The FTC right-to-repair settlement requires Deere to provide repair tools, software, and diagnostic access to farmers and independent shops for 10 years — a structural change that could erode the aftermarket data moat and dealer network economics over time [3]. The $99M class-action settlement adds to the financial impact. D/E of 376% (driven by John Deere Financial's $60B+ lending book) creates leverage risk if agricultural credit quality deteriorates. Profit margin of 10.1% has compressed from cycle-peak levels above 16%, and tariffs contribute to buyer uncertainty. CEO May's $20.8M insider sale raises questions about near-term conviction. Technology democratization risk persists as AGCO and CNH Industrial deploy comparable AI/autonomous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Agricultural cycle recovery — Small Ag &amp; Turf up 16% and Construction &amp; Forestry up 29% in Q2 FY2026, with full-year guidance of $4.5B-$5.0B net income maintained, signaling the production cycle trough may be ending [1]</w:t>
      </w:r>
    </w:p>
    <w:p>
      <w:pPr>
        <w:spacing w:before="40" w:after="40"/>
        <w:ind w:left="283"/>
      </w:pPr>
      <w:r>
        <w:rPr>
          <w:rFonts w:ascii="Calibri" w:hAnsi="Calibri"/>
          <w:b/>
          <w:color w:val="4A6B25"/>
          <w:sz w:val="20"/>
        </w:rPr>
        <w:t xml:space="preserve">2. </w:t>
      </w:r>
      <w:r>
        <w:rPr>
          <w:rFonts w:ascii="Calibri" w:hAnsi="Calibri"/>
          <w:b w:val="0"/>
          <w:color w:val="3A4A28"/>
          <w:sz w:val="20"/>
        </w:rPr>
        <w:t>Autonomous farming milestones — Autonomy 2.0 in full 2026 release for tillage, autonomous corn/soybean production cycle targeted by 2030, See &amp; Spray expansion, and OpenAI partnership creating new recurring revenue streams [2]</w:t>
      </w:r>
    </w:p>
    <w:p>
      <w:pPr>
        <w:spacing w:before="40" w:after="40"/>
        <w:ind w:left="283"/>
      </w:pPr>
      <w:r>
        <w:rPr>
          <w:rFonts w:ascii="Calibri" w:hAnsi="Calibri"/>
          <w:b/>
          <w:color w:val="4A6B25"/>
          <w:sz w:val="20"/>
        </w:rPr>
        <w:t xml:space="preserve">3. </w:t>
      </w:r>
      <w:r>
        <w:rPr>
          <w:rFonts w:ascii="Calibri" w:hAnsi="Calibri"/>
          <w:b w:val="0"/>
          <w:color w:val="3A4A28"/>
          <w:sz w:val="20"/>
        </w:rPr>
        <w:t>Precision agriculture platform monetization — software subscriptions, AI-powered prescriptive farming advice, and data analytics layered on the installed equipment base, shifting revenue mix toward higher-margin recurring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Right-to-repair structural impact — FTC settlement requires 10 years of open repair tool/software access, plus $99M class-action settlement, potentially eroding the aftermarket data moat and dealer network economics that underpin Deere's competitive advantage [3]</w:t>
      </w:r>
    </w:p>
    <w:p>
      <w:pPr>
        <w:spacing w:before="40" w:after="40"/>
        <w:ind w:left="283"/>
      </w:pPr>
      <w:r>
        <w:rPr>
          <w:rFonts w:ascii="Calibri" w:hAnsi="Calibri"/>
          <w:b/>
          <w:color w:val="4A6B25"/>
          <w:sz w:val="20"/>
        </w:rPr>
        <w:t xml:space="preserve">2. </w:t>
      </w:r>
      <w:r>
        <w:rPr>
          <w:rFonts w:ascii="Calibri" w:hAnsi="Calibri"/>
          <w:b w:val="0"/>
          <w:color w:val="3A4A28"/>
          <w:sz w:val="20"/>
        </w:rPr>
        <w:t>Extended agricultural downturn — Production &amp; Precision Ag revenue declined 14% in Q2 FY2026, and tariff-driven uncertainty could defer equipment purchases beyond the expected cycle recovery, invalidating the guidance [1]</w:t>
      </w:r>
    </w:p>
    <w:p>
      <w:pPr>
        <w:spacing w:before="40" w:after="40"/>
        <w:ind w:left="283"/>
      </w:pPr>
      <w:r>
        <w:rPr>
          <w:rFonts w:ascii="Calibri" w:hAnsi="Calibri"/>
          <w:b/>
          <w:color w:val="4A6B25"/>
          <w:sz w:val="20"/>
        </w:rPr>
        <w:t xml:space="preserve">3. </w:t>
      </w:r>
      <w:r>
        <w:rPr>
          <w:rFonts w:ascii="Calibri" w:hAnsi="Calibri"/>
          <w:b w:val="0"/>
          <w:color w:val="3A4A28"/>
          <w:sz w:val="20"/>
        </w:rPr>
        <w:t>Technology democratization — AGCO, CNH Industrial, and precision agriculture startups deploying comparable AI/autonomous capabilities, narrowing Deere's technology premium as computer vision and sensors commoditize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Deere's core business — manufacturing massive agricultural and construction equipment — requires physical-world production, dealer networks, service infrastructure, and 189 years of customer relationships that AI cannot displace [1]. The equipment is essential infrastructure for global food production, with demand driven by agricultural cycles and population growth. Deere is actively building AI INTO its equipment — See &amp; Spray, autonomous tractors, prescriptive AI, and the OpenAI partnership make AI an enabler that strengthens competitive moats rather than a disruptor [2]. The modest risk comes from technology democratization: as AI sensors and computer vision commoditize, AGCO, CNH Industrial, and precision agriculture startups could deploy comparable capabilities at lower cost, narrowing Deere's technology premium [2]. AI Opportunity (1/1): Deere generates meaningful revenue from precision agriculture technology subscriptions, See &amp; Spray premium licensing, AI-enabled equipment upgrades, and autonomous machinery. The OpenAI partnership and Autonomy 2.0 full release in 2026 represent growing AI revenue streams with recurring characteristics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Deere &amp; Company Q2 FY2026 Earnings — revenue $13.37B up 5%, net income $1.773B, SAT +16%, C&amp;F +29%, PPA -14%, FY2026 guidance $4.5B-$5.0B maintained, $635M shareholder returns, May 21, 2026</w:t>
      </w:r>
    </w:p>
    <w:p>
      <w:pPr>
        <w:spacing w:before="20" w:after="20"/>
        <w:ind w:left="170"/>
      </w:pPr>
      <w:r>
        <w:rPr>
          <w:rFonts w:ascii="Calibri" w:hAnsi="Calibri"/>
          <w:b/>
          <w:color w:val="4A6B25"/>
          <w:sz w:val="15"/>
        </w:rPr>
        <w:t xml:space="preserve">2. </w:t>
      </w:r>
      <w:r>
        <w:rPr>
          <w:rFonts w:ascii="Calibri" w:hAnsi="Calibri"/>
          <w:b w:val="0"/>
          <w:color w:val="3A4A28"/>
          <w:sz w:val="17"/>
        </w:rPr>
        <w:t>John Deere AI Strategy — OpenAI partnership, See &amp; Spray (77% herbicide reduction), Autonomy 2.0 full 2026 release, prescriptive AI, Blue River Technology acquisition ($305M), John Deere Fellows Program, Glassdoor 4.0/5 (78% recommend), 2025-2026</w:t>
      </w:r>
    </w:p>
    <w:p>
      <w:pPr>
        <w:spacing w:before="20" w:after="20"/>
        <w:ind w:left="170"/>
      </w:pPr>
      <w:r>
        <w:rPr>
          <w:rFonts w:ascii="Calibri" w:hAnsi="Calibri"/>
          <w:b/>
          <w:color w:val="4A6B25"/>
          <w:sz w:val="15"/>
        </w:rPr>
        <w:t xml:space="preserve">3. </w:t>
      </w:r>
      <w:r>
        <w:rPr>
          <w:rFonts w:ascii="Calibri" w:hAnsi="Calibri"/>
          <w:b w:val="0"/>
          <w:color w:val="3A4A28"/>
          <w:sz w:val="17"/>
        </w:rPr>
        <w:t>FTC Right-to-Repair Settlement — 10-year requirement for open diagnostic/repair tools; $99M class-action settlement with farmers,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DE stock $607.33, forward PE 25.84, PEG 2.24, D/E 376%, ROE 18.2%, profit margin 10.1%, 53yr dividends, 15.3% 5yr div CAGR,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