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DLO</w:t>
      </w:r>
      <w:r>
        <w:rPr>
          <w:rFonts w:ascii="Calibri" w:hAnsi="Calibri"/>
          <w:b/>
          <w:color w:val="1A2010"/>
          <w:sz w:val="40"/>
        </w:rPr>
        <w:t xml:space="preserve">  DLocal Limited</w:t>
      </w:r>
    </w:p>
    <w:p>
      <w:pPr>
        <w:spacing w:after="120"/>
      </w:pPr>
      <w:r>
        <w:rPr>
          <w:rFonts w:ascii="Calibri" w:hAnsi="Calibri"/>
          <w:b/>
          <w:color w:val="6E8450"/>
          <w:sz w:val="18"/>
        </w:rPr>
        <w:t>GROWTH SLEEVE · 2026-08-04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Uruguay</w:t>
      </w:r>
    </w:p>
    <w:p>
      <w:pPr>
        <w:spacing w:after="80"/>
      </w:pPr>
      <w:r>
        <w:rPr>
          <w:rFonts w:ascii="Calibri" w:hAnsi="Calibri"/>
          <w:b w:val="0"/>
          <w:color w:val="3A4A28"/>
          <w:sz w:val="20"/>
        </w:rPr>
        <w:t>DLocal is an emerging markets payments technology platform that enables global enterprise merchants to accept and disburse payments in over 40 countries across Africa, Asia, and Latin America. The company processes local payment methods including cards, bank transfers, cash, and alternative payment methods, serving commerce, streaming, ride-hailing, financial services, and gaming industries. Founded in 2016, headquartered in Montevideo, Uruguay.</w:t>
      </w:r>
    </w:p>
    <w:p>
      <w:r>
        <w:rPr>
          <w:rFonts w:ascii="Calibri" w:hAnsi="Calibri"/>
          <w:b/>
          <w:color w:val="6E8450"/>
          <w:sz w:val="18"/>
        </w:rPr>
        <w:t>1,274 Employees · https://www.dlocal.com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DLocal scaled from $419M revenue in 2022 to over $1B in 2025, with Q1 2026 revenue of $335.9M (up 55% YoY) and TPV surpassing $14B for the first time — six consecutive quarters of 50%+ TPV growth [1]. Geographic expansion from Latin America into 40+ countries across Africa, Asia, and Middle East opened new revenue streams. AI Deployment (0/2): No AI-powered products shipping to customers and no quantified AI-driven cost savings or revenue gains reported; the company uses modern development tools internally including AI but has not disclosed specific AI product strategy or measurable results [2]. Market Share (2/2): Leading independent cross-border payment platform for emerging markets serving 600+ enterprise merchants including Amazon, Microsoft, Google, Spotify, and Uber — no direct competitor matches this geographic breadth with single-API integration across 40+ countries [1][2]. Product Pipeline (1/2): Expanding into stablecoin on-ramps, BNPL integration, and new geographies; Russell 2000 inclusion in 2026 validates market position, but no specific next-gen products with launch dates or revenue visibility announced [1]. R&amp;D Intensity (1/1): Technology-first company with continuous investment in local payment method integrations and regulatory compliance automation across 40+ diverse regulatory environments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DLocal's purpose — closing the payments innovation gap between global enterprises and emerging economies — is specific and meaningful, connecting commercial activity to financial inclusion for billions of underbanked consumers [2]. However, it describes the company's business model rather than an aspirational future state that inspires sacrifice, and is interchangeable with other EM fintech peers. Community Impact (0/2): No evidence of charitable programs, foundations, or community investment initiatives beyond the company's core commercial payment operations. Employee Retention (0/2): Glassdoor ratings of 3.1 for work-life balance, 3.2 for culture and values, and 3.3 for career opportunities are below industry averages; employee reviews cite 'lack of trust and excessive micromanagement' and 'rigid team culture that discourages mistakes' [3]. Insider Buying (0/2): Net insider selling — director Sebastian Kanovich sold 25,700 shares ($398K) in July 2026; recurring short-seller allegations (Muddy Waters 2022, Hollenden Square 2025) further complicate the insider conviction narrative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near-perfect on available metrics. Q1 2026 delivered $335.9M revenue (up 55% YoY) with record gross profit of $119M and TPV surpassing $14B [1]. D/E ratio of 20% reflects an almost debt-free balance sheet far below the 70% target. ROE of 35% is well above the 15% target, demonstrating strong capital efficiency. Forward P/E of 13.5 is significantly below the 20 target, and forward PEG of 0.65 signals undervaluation relative to growth [5]. Five-year revenue CAGR of ~35% far exceeds the 10% target. Only weakness is net profit margin of 18% slightly below the 20% target, reflecting gross margin compression of 4pp as geographic mix shifts toward lower-take-rate regions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DLocal operates with a commercially driven, growth-focused mindset typical of a young, fast-scaling fintech. While the company's expansion from LatAm to 40+ countries demonstrates ambition, strategic decisions appear driven by market opportunity rather than an enduring purpose. The recurring governance controversies — Muddy Waters fraud allegations (2022), Argentine investigation (2023), Hollenden Square report (2025) — undermine the trust foundation essential for infinite game thinking. The CEO transition from founder Kanovich to Pedro Arnt (ex-MercadoLibre CFO) brought operational maturity but competitive language remains focused on winning market share.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DLocal's cause — closing the payments innovation gap between global enterprises and emerging economies — is genuine and connects to financial inclusion for underserved consumers [2]. However, the cause is commercial rather than transformative, the company is only 10 years old and has not been tested through sustained adversity, and the recurring fraud allegations cast doubt on whether purpose truly drives corporate behavior versus growth at all costs.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 organizational trust indicated by multiple signals. Glassdoor ratings of 3.1-3.3 are below industry averages, with employee reviews citing 'lack of trust and excessive micromanagement' and 'rigid team culture that discourages mistakes' [3]. CEO Pedro Arnt acknowledges the culture is 'not for everyone,' which signals exclusivity rather than psychological safety. The recurring short-seller allegations (three since 2022) create organizational uncertainty that erodes internal trust, and the CEO transition from founder Kanovich to Arnt is still being validated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DLocal positions itself as uniquely dominant in emerging market payments, emphasizing that 'no direct competitor matches' its scale and geographic breadth [2]. The competitive narrative focuses on superiority over rivals like Adyen, Stripe, and MercadoPago rather than learning from their strengths. No evidence of management commentary referencing competitors as sources of improvement or inspiration.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DLocal has evolved incrementally from a LatAm-only pay-in processor to a full-stack payments platform across 40+ countries, adding payouts, stablecoin on-ramps, and BNPL capabilities [1][2]. The geographic expansion into Africa and Asia represents meaningful market diversification. However, the core business model — processing payments for global merchants in emerging markets — has remained fundamentally unchanged since founding, and the company has not yet faced the existential test of abandoning a profitable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DLocal demonstrated courage by recruiting Pedro Arnt from MercadoLibre as CEO in 2024, bringing in an experienced outsider to professionalize the organization during rapid growth [3]. The company invested heavily in geographic expansion to Africa and Asia even as gross margins compressed 4 percentage points, prioritizing long-term market positioning over short-term profitability [1]. However, the response to repeated fraud allegations has been reactive rather than proactive, and the $300M buyback signals financial engineering rather than purpose-driven courage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DLocal delivered strong Q1 2026 results with $335.9M revenue (up 55% YoY), TPV surpassing $14B for the first time (up 73% YoY), and record gross profit of $119M [1]. Six consecutive quarters of 50%+ TPV growth demonstrate accelerating network effects across 40+ emerging markets. At forward P/E of 13.5x and PEG of 0.65, DLocal is one of the most attractively valued high-growth fintechs in the market — a fraction of peers like Adyen (40x+) despite superior revenue growth [5]. D/E of just 20%, ROE of 35%, and Russell 2000 inclusion in 2026 provide financial strength and increasing institutional demand.</w:t>
      </w:r>
    </w:p>
    <w:p>
      <w:pPr>
        <w:spacing w:after="120"/>
      </w:pPr>
      <w:r>
        <w:rPr>
          <w:rFonts w:ascii="Calibri" w:hAnsi="Calibri"/>
          <w:b w:val="0"/>
          <w:color w:val="3A4A28"/>
          <w:sz w:val="20"/>
        </w:rPr>
        <w:t>The bear case centers on margin compression and governance risk. Gross profit margin contracted 4pp to 35% in Q1 2026 as geographic mix shifts toward lower-take-rate regions, and net income growth of only 11% YoY on 55% revenue growth signals that operating leverage is not yet materializing [1]. Recurring governance controversies — Muddy Waters fraud allegations (2022), Argentine government investigation (2023), Hollenden Square money laundering report (2025) — create a permanent credibility discount even though independent investigations found allegations 'not substantiated' [4]. Employee sentiment is weak (Glassdoor 3.1-3.3) with complaints of micromanagement and rigid culture, suggesting organizational growing pains during rapid scaling [3]. Emerging market concentration creates currency, regulatory, and political risks across 40+ jurisdictions that could simultaneously impact multiple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Russell 2000 inclusion driving systematic index fund buying and improved institutional liquidity, with H2 2026 expected to show operating leverage improvements per management guidance [1]</w:t>
      </w:r>
    </w:p>
    <w:p>
      <w:pPr>
        <w:spacing w:before="40" w:after="40"/>
        <w:ind w:left="283"/>
      </w:pPr>
      <w:r>
        <w:rPr>
          <w:rFonts w:ascii="Calibri" w:hAnsi="Calibri"/>
          <w:b/>
          <w:color w:val="4A6B25"/>
          <w:sz w:val="20"/>
        </w:rPr>
        <w:t xml:space="preserve">2. </w:t>
      </w:r>
      <w:r>
        <w:rPr>
          <w:rFonts w:ascii="Calibri" w:hAnsi="Calibri"/>
          <w:b w:val="0"/>
          <w:color w:val="3A4A28"/>
          <w:sz w:val="20"/>
        </w:rPr>
        <w:t>TPV trajectory toward $60B+ annualized run-rate as 40+ country network effects accelerate merchant adoption and continued geographic expansion into Africa and Asia [1]</w:t>
      </w:r>
    </w:p>
    <w:p>
      <w:pPr>
        <w:spacing w:before="40" w:after="40"/>
        <w:ind w:left="283"/>
      </w:pPr>
      <w:r>
        <w:rPr>
          <w:rFonts w:ascii="Calibri" w:hAnsi="Calibri"/>
          <w:b/>
          <w:color w:val="4A6B25"/>
          <w:sz w:val="20"/>
        </w:rPr>
        <w:t xml:space="preserve">3. </w:t>
      </w:r>
      <w:r>
        <w:rPr>
          <w:rFonts w:ascii="Calibri" w:hAnsi="Calibri"/>
          <w:b w:val="0"/>
          <w:color w:val="3A4A28"/>
          <w:sz w:val="20"/>
        </w:rPr>
        <w:t>Forward PEG of 0.65 signals significant undervaluation relative to ~35% revenue CAGR — multiple re-rating potential as the company demonstrates sustained profitability improvement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compression of 4pp in Q1 2026 signals structural tension between volume growth and take rates as geographic mix shifts to lower-margin regions — if margins continue declining, revenue growth will not translate to earnings growth [1]</w:t>
      </w:r>
    </w:p>
    <w:p>
      <w:pPr>
        <w:spacing w:before="40" w:after="40"/>
        <w:ind w:left="283"/>
      </w:pPr>
      <w:r>
        <w:rPr>
          <w:rFonts w:ascii="Calibri" w:hAnsi="Calibri"/>
          <w:b/>
          <w:color w:val="4A6B25"/>
          <w:sz w:val="20"/>
        </w:rPr>
        <w:t xml:space="preserve">2. </w:t>
      </w:r>
      <w:r>
        <w:rPr>
          <w:rFonts w:ascii="Calibri" w:hAnsi="Calibri"/>
          <w:b w:val="0"/>
          <w:color w:val="3A4A28"/>
          <w:sz w:val="20"/>
        </w:rPr>
        <w:t>Recurring fraud and governance allegations from three separate short-seller reports since 2022 create permanent credibility discount, ongoing Eastern District NY class action liability, and potential regulatory consequences [4]</w:t>
      </w:r>
    </w:p>
    <w:p>
      <w:pPr>
        <w:spacing w:before="40" w:after="40"/>
        <w:ind w:left="283"/>
      </w:pPr>
      <w:r>
        <w:rPr>
          <w:rFonts w:ascii="Calibri" w:hAnsi="Calibri"/>
          <w:b/>
          <w:color w:val="4A6B25"/>
          <w:sz w:val="20"/>
        </w:rPr>
        <w:t xml:space="preserve">3. </w:t>
      </w:r>
      <w:r>
        <w:rPr>
          <w:rFonts w:ascii="Calibri" w:hAnsi="Calibri"/>
          <w:b w:val="0"/>
          <w:color w:val="3A4A28"/>
          <w:sz w:val="20"/>
        </w:rPr>
        <w:t>Emerging market concentration exposes the business to simultaneous currency devaluations, capital controls, and sudden regulatory changes across 40+ jurisdictions with limited hedging options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Cross-border payment processing in emerging markets requires regulatory licenses, local banking partnerships, correspondent banking relationships, and compliance infrastructure across 40+ countries — all physical and regulatory moats that AI structurally cannot replicate [1][2]. Payment method fragmentation (cards, bank transfers, cash, mobile money) demands boots-on-the-ground integrations that take years to build. However, AI could accelerate competitors' ability to replicate local payment method integrations, and AI-driven automation could commoditize the technology layer of payment routing and fraud detection over time. AI Opportunity (0/1): No AI-driven revenue reported. DLocal likely uses machine learning for fraud detection and transaction routing internally, but no quantified AI revenue contribution or AI products shipping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DLocal Q1 2026 Earnings Release — $335.9M revenue (55% YoY), $14B+ TPV (73% YoY), record gross profit $119M — GlobeNewsWire, May 14, 2026</w:t>
      </w:r>
    </w:p>
    <w:p>
      <w:pPr>
        <w:spacing w:before="20" w:after="20"/>
        <w:ind w:left="170"/>
      </w:pPr>
      <w:r>
        <w:rPr>
          <w:rFonts w:ascii="Calibri" w:hAnsi="Calibri"/>
          <w:b/>
          <w:color w:val="4A6B25"/>
          <w:sz w:val="15"/>
        </w:rPr>
        <w:t xml:space="preserve">2. </w:t>
      </w:r>
      <w:r>
        <w:rPr>
          <w:rFonts w:ascii="Calibri" w:hAnsi="Calibri"/>
          <w:b w:val="0"/>
          <w:color w:val="3A4A28"/>
          <w:sz w:val="17"/>
        </w:rPr>
        <w:t>DLocal Corporate — Emerging market payments platform, 40+ countries, 600+ merchants, company mission and innovation — dlocal.com,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DLocal Employee Reviews — Glassdoor ratings 3.1-3.3, CEO Pedro Arnt culture commentary — Forbes (March 2024),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DLocal Governance — Muddy Waters (Nov 2022), Argentine investigation (May 2023), Hollenden Square (Feb 2025), insider transactions — SEC filings,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DLO Key Statistics: P/E 23.6, Forward P/E 13.5, PEG 0.65, D/E 20%, ROE 35%,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SEC Form 6-K — DLocal Insider Transactions,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