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DRI</w:t>
      </w:r>
      <w:r>
        <w:rPr>
          <w:rFonts w:ascii="Calibri" w:hAnsi="Calibri"/>
          <w:b/>
          <w:color w:val="1A2010"/>
          <w:sz w:val="40"/>
        </w:rPr>
        <w:t xml:space="preserve">  Darden Restaurants, Inc.</w:t>
      </w:r>
    </w:p>
    <w:p>
      <w:pPr>
        <w:spacing w:after="120"/>
      </w:pPr>
      <w:r>
        <w:rPr>
          <w:rFonts w:ascii="Calibri" w:hAnsi="Calibri"/>
          <w:b/>
          <w:color w:val="6E8450"/>
          <w:sz w:val="18"/>
        </w:rPr>
        <w:t>DIVIDEND SLEEVE · 2026-07-26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Darden Restaurants owns and operates full-service restaurant chains in the United States and Canada including Olive Garden, LongHorn Steakhouse, Cheddar's Scratch Kitchen, Chuy's, Yard House, Ruth's Chris Steak House, The Capital Grille, Seasons 52, and Eddie V's. The largest full-service restaurant operator in the US with $13.21B in FY2026 revenue. Founded in 1938 and headquartered in Orlando, Florida.</w:t>
      </w:r>
    </w:p>
    <w:p>
      <w:r>
        <w:rPr>
          <w:rFonts w:ascii="Calibri" w:hAnsi="Calibri"/>
          <w:b/>
          <w:color w:val="6E8450"/>
          <w:sz w:val="18"/>
        </w:rPr>
        <w:t>197,924 Employees · https://www.darden.com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Darden delivered FY2026 revenue of $13.21B (up 9.4% YoY) with Olive Garden same-store sales growing 4.0% and LongHorn Steakhouse growing 7.2% [1]. The Chuy's acquisition (completed 2025) expanded the portfolio to 10 brands and contributed to growth. FY2027 guidance of $13.6-13.75B with 75-80 new restaurant openings demonstrates continued momentum [1]. AI Deployment (1/2): Darden deploys AI-driven forecasting tools for guest traffic prediction, automated scheduling, predictive ordering, and dynamic pricing across its 2,000+ restaurant portfolio, generating measurable efficiency improvements in labor productivity and food waste reduction [3]. Market Share (1/2): Darden is the largest full-service restaurant operator in the US by revenue with Olive Garden (#1 full-service casual dining by traffic) and LongHorn (#1 in steakhouse segment growth), but operates in a highly fragmented market without dominant overall share [1]. Pipeline (1/2): FY2027 guidance includes 75-80 new restaurant openings, $875M capex, and 8% dividend increase, providing clear near-term visibility [1]. R&amp;D Intensity (0/1): Restaurant companies have minimal traditional R&amp;D; Darden invests in menu innovation and digital capabilities but not at levels distinguishing it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Darden's purpose centers on 'Nourishing and delighting everyone we serve' — clear and relevant but not deeply distinctive among restaurant companies [4]. The focus on team members, guests, and communities is genuine but interchangeable with many hospitality peers. Community Impact (2/2): Darden employs nearly 198,000 team members, one of the largest private employers in the restaurant industry [4]. The Darden Foundation supports hunger relief and education; the Orlando headquarters is LEED Gold certified with a 1.1 MW solar array. FY2026 reported $13.21B revenue while maintaining specific, measurable community investment across markets [1][4]. Employee Retention (1/2): CEO Ricardo Cardenas (appointed 2022) has provided stable leadership with the company reporting strong culture ratings. Sarah H. King was appointed Chief People Officer in 2025, signaling investment in workforce development [3]. However, frontline restaurant management reviews cite typical hospitality challenges around work-life balance. Insider Buying (1/2): Board authorized $1.5B share repurchase program alongside FY2026 Q4 results, demonstrating capital return commitment, though individual insider transactions show mixed buying and selling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delivered FY2026 revenue of $13.21B (up 9.4%) with EPS of $10.38 (up 17%), demonstrating solid execution [1]. D/E of 401% exceeds the 300% floor and scores zero on leverage — the extreme D/E is partly structural from restaurant lease accounting under ASC 842 but represents genuine balance sheet risk [5]. ROE of 53.7% is exceptional, reflecting efficient capital deployment through the asset-light franchise-like model. Forward P/E of 18.59 is attractive, scoring at target. Revenue growth of 9.4% YoY and 5yr CAGR of ~9.1% are near the 10% target [1]. Profit margin of 9.2% is typical for full-service restaurants but below the 20% scoring target. On dividend metrics, payout ratio of ~54% is above the 40% target, consecutive years paid (5, post-COVID restart) and growth (5 years) are below the 10-year target, though dividend growth CAGR of ~7% exceeds the 6% threshold. FY2027 dividend increased 8% to $1.52/quarter [1]. Liquidity easily cleared at $302M+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Darden demonstrates meaningful infinite game characteristics — an 88-year institutional history, consistent brand portfolio management, and a culture that invests in team members as the foundation of guest experience. CEO Cardenas continues the long-term playbook established by predecessors. The FY2027 guidance with 75-80 new restaurants, 8% dividend increase, and $1.5B buyback program signals sustained commitment to long-term value creation [1].</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Darden's purpose of 'nourishing and delighting' through full-service dining is genuine and connects its work to community and hospitality. The company has consistently invested in team member wellbeing and community impact over 88 years, and the Olive Garden brand's 'When you're here, you're family' ethos is lived out through industry-leading benefits for hourly workers [4]. However, the purpose hasn't been tested through a defining strategic crisis that proved the cause shapes decisions over profit.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employs nearly 198,000 people with CEO Cardenas providing stable leadership since 2022 and Chief People Officer Sarah King appointed in 2025 to invest in workforce development [3]. The company invests in team member benefits including healthcare for hourly workers and tuition assistance, above average for the restaurant industry. However, frontline restaurant management reviews cite typical hospitality challenges around work-life balance and high turnover rates inherent to food service.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management discusses competitive dynamics with Texas Roadhouse, Brinker, and independent restaurants in terms of improving its own guest experience and value proposition rather than market share warfare [1]. The company benchmarks against best-in-class operators and uses competitive pressure to refine menu innovation, service standards, and operational efficiency.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has evolved meaningfully over its history — divesting Red Lobster in 2014 when it no longer fit the portfolio strategy, acquiring higher-end concepts (Ruth's Chris, Eddie V's, Capital Grille) and fast-casual Chuy's to reposition the brand portfolio [1]. FY2027 plans for 75-80 new restaurants across 10 brands demonstrate continued portfolio evolution. These moves show strategic flexibility in response to consumer trends, though they represent incremental portfolio management rather than a transformative reinvention of the business model.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Red Lobster divestiture in 2014 under activist investor pressure was a courageous decision that ultimately strengthened the portfolio. The Chuy's acquisition during uncertain consumer conditions and FY2027's commitment to $875M capex with 75-80 new openings show willingness to invest for the long term [1]. However, Darden generally operates within a well-established playbook of same-store sales growth and disciplined unit expansion rather than making costly, unconventional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Darden Restaurants delivered a strong FY2026 with $13.21B revenue (up 9.4%), EPS of $10.38 (up 17%), and blended same-restaurant sales growth of 4.5%, powered by Olive Garden (+4.0%) and LongHorn Steakhouse (+7.2%) [1]. FY2027 guidance projects $13.6-13.75B revenue with EPS of $11.10-$11.35, 75-80 new restaurant openings, $875M capex, and an 8% dividend increase to $1.52/quarter — signaling management confidence in the growth trajectory [1]. At 18.6x forward earnings with a 3.07% dividend yield, Darden offers a reasonable valuation for the largest full-service restaurant franchise in the US with consistent cash flow generation. AI-driven efficiency tools across 2,000+ locations continue to improve labor productivity and food waste management [3].</w:t>
      </w:r>
    </w:p>
    <w:p>
      <w:pPr>
        <w:spacing w:after="120"/>
      </w:pPr>
      <w:r>
        <w:rPr>
          <w:rFonts w:ascii="Calibri" w:hAnsi="Calibri"/>
          <w:b w:val="0"/>
          <w:color w:val="3A4A28"/>
          <w:sz w:val="20"/>
        </w:rPr>
        <w:t>The bear case centers on balance sheet leverage, margin pressure, and consumer cyclicality. D/E of 401% reflects significant debt load amplified by lease obligations under ASC 842, creating vulnerability in an elevated rate environment [5]. Profit margin of 9.2% leaves limited room for cost absorption if food inflation or labor costs spike. The COVID-era dividend suspension resets the consecutive years paid clock to just 5 years, undermining the dividend track record for income investors, and payout ratio of 54% is above the ideal 40% target [5]. Consumer spending on full-service dining is inherently cyclical — Darden's revenue dropped 36% during COVID. Competition from fast-casual chains (Chipotle, CAVA, Sweetgreen) continues to pressure the full-service dining segment, particularly among younger demographics who increasingly favor faster, cheaper formats.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$13.6-13.75B revenue with $11.10-$11.35 EPS and 75-80 new restaurant openings demonstrates management confidence in sustained growth [1]</w:t>
      </w:r>
    </w:p>
    <w:p>
      <w:pPr>
        <w:spacing w:before="40" w:after="40"/>
        <w:ind w:left="283"/>
      </w:pPr>
      <w:r>
        <w:rPr>
          <w:rFonts w:ascii="Calibri" w:hAnsi="Calibri"/>
          <w:b/>
          <w:color w:val="4A6B25"/>
          <w:sz w:val="20"/>
        </w:rPr>
        <w:t xml:space="preserve">2. </w:t>
      </w:r>
      <w:r>
        <w:rPr>
          <w:rFonts w:ascii="Calibri" w:hAnsi="Calibri"/>
          <w:b w:val="0"/>
          <w:color w:val="3A4A28"/>
          <w:sz w:val="20"/>
        </w:rPr>
        <w:t>8% dividend increase to $1.52/quarter and $1.5B share repurchase authorization signal strong capital return commitment and management conviction [1]</w:t>
      </w:r>
    </w:p>
    <w:p>
      <w:pPr>
        <w:spacing w:before="40" w:after="40"/>
        <w:ind w:left="283"/>
      </w:pPr>
      <w:r>
        <w:rPr>
          <w:rFonts w:ascii="Calibri" w:hAnsi="Calibri"/>
          <w:b/>
          <w:color w:val="4A6B25"/>
          <w:sz w:val="20"/>
        </w:rPr>
        <w:t xml:space="preserve">3. </w:t>
      </w:r>
      <w:r>
        <w:rPr>
          <w:rFonts w:ascii="Calibri" w:hAnsi="Calibri"/>
          <w:b w:val="0"/>
          <w:color w:val="3A4A28"/>
          <w:sz w:val="20"/>
        </w:rPr>
        <w:t>Chuy's integration adding a high-growth Tex-Mex brand with potential for accelerated unit expansion under Darden's operational infrastructure and scale advantages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401% creates significant balance sheet risk from lease-heavy restaurant operations, particularly if interest rates remain elevated or a consumer recession compresses cash flows [5]</w:t>
      </w:r>
    </w:p>
    <w:p>
      <w:pPr>
        <w:spacing w:before="40" w:after="40"/>
        <w:ind w:left="283"/>
      </w:pPr>
      <w:r>
        <w:rPr>
          <w:rFonts w:ascii="Calibri" w:hAnsi="Calibri"/>
          <w:b/>
          <w:color w:val="4A6B25"/>
          <w:sz w:val="20"/>
        </w:rPr>
        <w:t xml:space="preserve">2. </w:t>
      </w:r>
      <w:r>
        <w:rPr>
          <w:rFonts w:ascii="Calibri" w:hAnsi="Calibri"/>
          <w:b w:val="0"/>
          <w:color w:val="3A4A28"/>
          <w:sz w:val="20"/>
        </w:rPr>
        <w:t>Full-service dining secular headwinds as fast-casual chains capture share with faster service and lower price points, pressuring traffic at traditional sit-down restaurants across all Darden brands</w:t>
      </w:r>
    </w:p>
    <w:p>
      <w:pPr>
        <w:spacing w:before="40" w:after="40"/>
        <w:ind w:left="283"/>
      </w:pPr>
      <w:r>
        <w:rPr>
          <w:rFonts w:ascii="Calibri" w:hAnsi="Calibri"/>
          <w:b/>
          <w:color w:val="4A6B25"/>
          <w:sz w:val="20"/>
        </w:rPr>
        <w:t xml:space="preserve">3. </w:t>
      </w:r>
      <w:r>
        <w:rPr>
          <w:rFonts w:ascii="Calibri" w:hAnsi="Calibri"/>
          <w:b w:val="0"/>
          <w:color w:val="3A4A28"/>
          <w:sz w:val="20"/>
        </w:rPr>
        <w:t>Consumer cyclicality — Darden's revenue is correlated with discretionary spending and dropped 36% during COVID, making the stock vulnerable to any recession or consumer confidence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Darden's core business — operating physical restaurants where guests dine in for the full-service experience — is structurally immune to AI substitution [3]. AI cannot replace a dinner at Olive Garden or a steak at Ruth's Chris; the value proposition is fundamentally about physical presence, human service, and food quality. Restaurant operations require physical-world labor (cooking, serving, cleaning) that AI structurally cannot displace. AI actually enhances Darden's operations through demand forecasting, labor scheduling, and inventory optimization without threatening core revenue streams [3]. AI Opportunity (1/1): Darden generates measurable efficiency gains from AI-driven guest traffic prediction, automated scheduling, predictive ordering, and dynamic pricing systems deployed across its 2,000+ restaurant portfolio [3]. The company's digital platform strategy leverages data and AI insights to improve guest experience and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Darden Restaurants FY2026 Full Year and Q4 Results — $13.21B revenue, $10.38 EPS, FY2027 guidance $13.6-13.75B, 8% dividend increase, $1.5B buyback, June 25, 2026</w:t>
      </w:r>
    </w:p>
    <w:p>
      <w:pPr>
        <w:spacing w:before="20" w:after="20"/>
        <w:ind w:left="170"/>
      </w:pPr>
      <w:r>
        <w:rPr>
          <w:rFonts w:ascii="Calibri" w:hAnsi="Calibri"/>
          <w:b/>
          <w:color w:val="4A6B25"/>
          <w:sz w:val="15"/>
        </w:rPr>
        <w:t xml:space="preserve">2. </w:t>
      </w:r>
      <w:r>
        <w:rPr>
          <w:rFonts w:ascii="Calibri" w:hAnsi="Calibri"/>
          <w:b w:val="0"/>
          <w:color w:val="3A4A28"/>
          <w:sz w:val="17"/>
        </w:rPr>
        <w:t>Darden Restaurants Q2 FY2026 Earnings — $3.1B revenue, same-store sales up 4.3%, December 2025</w:t>
      </w:r>
    </w:p>
    <w:p>
      <w:pPr>
        <w:spacing w:before="20" w:after="20"/>
        <w:ind w:left="170"/>
      </w:pPr>
      <w:r>
        <w:rPr>
          <w:rFonts w:ascii="Calibri" w:hAnsi="Calibri"/>
          <w:b/>
          <w:color w:val="4A6B25"/>
          <w:sz w:val="15"/>
        </w:rPr>
        <w:t xml:space="preserve">3. </w:t>
      </w:r>
      <w:r>
        <w:rPr>
          <w:rFonts w:ascii="Calibri" w:hAnsi="Calibri"/>
          <w:b w:val="0"/>
          <w:color w:val="3A4A28"/>
          <w:sz w:val="17"/>
        </w:rPr>
        <w:t>Darden Restaurants Leadership and Technology Strategy — CEO Cardenas, CPO Sarah King, digital platform, AI-driven restaurant operations, 2025-2026</w:t>
      </w:r>
    </w:p>
    <w:p>
      <w:pPr>
        <w:spacing w:before="20" w:after="20"/>
        <w:ind w:left="170"/>
      </w:pPr>
      <w:r>
        <w:rPr>
          <w:rFonts w:ascii="Calibri" w:hAnsi="Calibri"/>
          <w:b/>
          <w:color w:val="4A6B25"/>
          <w:sz w:val="15"/>
        </w:rPr>
        <w:t xml:space="preserve">4. </w:t>
      </w:r>
      <w:r>
        <w:rPr>
          <w:rFonts w:ascii="Calibri" w:hAnsi="Calibri"/>
          <w:b w:val="0"/>
          <w:color w:val="3A4A28"/>
          <w:sz w:val="17"/>
        </w:rPr>
        <w:t>Darden Restaurants Impact Report — ESG initiatives, LEED Gold headquarters, team member investment, Darden Foundation,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 Analysis — DRI financial data, stock price $212.03, P/E 18.86, D/E 401%,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