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DVN</w:t>
      </w:r>
      <w:r>
        <w:rPr>
          <w:rFonts w:ascii="Calibri" w:hAnsi="Calibri"/>
          <w:b/>
          <w:color w:val="1A2010"/>
          <w:sz w:val="40"/>
        </w:rPr>
        <w:t xml:space="preserve">  Devon Energy Corporation</w:t>
      </w:r>
    </w:p>
    <w:p>
      <w:pPr>
        <w:spacing w:after="120"/>
      </w:pPr>
      <w:r>
        <w:rPr>
          <w:rFonts w:ascii="Calibri" w:hAnsi="Calibri"/>
          <w:b/>
          <w:color w:val="6E8450"/>
          <w:sz w:val="18"/>
        </w:rPr>
        <w:t>DIVIDEND SLEEVE · 2026-08-16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NYSE · United States</w:t>
      </w:r>
    </w:p>
    <w:p>
      <w:pPr>
        <w:spacing w:after="80"/>
      </w:pPr>
      <w:r>
        <w:rPr>
          <w:rFonts w:ascii="Calibri" w:hAnsi="Calibri"/>
          <w:b w:val="0"/>
          <w:color w:val="3A4A28"/>
          <w:sz w:val="20"/>
        </w:rPr>
        <w:t>Devon Energy is a leading U.S. independent oil and gas exploration and production company with core operations in the Permian, Anadarko, Eagle Ford, Bakken, and Powder River basins. On May 7, 2026 — just 94 days after announcement — Devon closed its merger with Coterra Energy, creating a combined ~$26-58B shale producer targeting $1 billion in annual pre-tax synergies by the end of 2027. Clay Gaspar, promoted from COO to CEO in March 2025 succeeding Rick Muncrief, is leading the integration and a company-wide 'third wave' of AI deployment across drilling, completions, and supply-chain operations.</w:t>
      </w:r>
    </w:p>
    <w:p>
      <w:r>
        <w:rPr>
          <w:rFonts w:ascii="Calibri" w:hAnsi="Calibri"/>
          <w:b/>
          <w:color w:val="6E8450"/>
          <w:sz w:val="18"/>
        </w:rPr>
        <w:t>4,403 Employees · https://www.devonenergy.com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Devon closed its merger with Coterra Energy on May 7, 2026 — only 94 days after announcement — creating a top-tier shale producer with over 350 identified synergy initiatives on track toward a $1B annual pre-tax synergy target by year-end 2027, a genuinely transformative consolidation rather than an incremental deal [1][2]. AI Deployment (2/2): Devon has quantified, shipping AI tools — its InnDrill and InnFrac applications manage drilling/completions data in real time, and CEO Clay Gaspar describes the company entering a 'third wave' of AI where AI agents optimize well design, sequence completions, predict pre-drill well performance basin-wide, and drive supply-chain/contract optimization, with AI-driven super-lateral drilling analytics explicitly cited as a contributor to the $1B synergy target [3]. Market Share (1/2): The Coterra combination creates one of the largest independent U.S. shale producers by scale, but Devon remains behind supermajors (ExxonMobil, Chevron) and larger independents (EOG) in absolute market share. Product Pipeline (1/2): The 350+ initiative synergy roadmap with a specific $1B/2027 target provides unusual visibility for an E&amp;P company, though this is integration execution rather than new product launches. R&amp;D Intensity (1/1): Devon's proprietary AI platform investment (InnDrill, InnFrac, well-design AI agents) reflects above-average technology spend relative to typical E&amp;P peers, who largely rely on third-party software.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Devon's mission — to be 'a results-oriented oil and gas company that builds value for shareholders through our employees by creating a culture of health, safety and environmental stewardship... dealing with everyone in an open and ethical manner' — is clear about what the company does and for whom but leads explicitly with shareholder value rather than a purpose beyond profit, placing it in the 'clear but not distinctive' tier [4]. Community Impact (0/2): No specific charitable foundation programs or community investment dollar figures were identified in research. Employee Retention (1/2): Glassdoor rating of 3.9/5 with 72% recommending the company, 4.1/5 for work-life balance and 3.9/5 for culture and values reflects solid, above-average sentiment, though no specific tenure or turnover data was found [5]. Insider Buying (0/2): Devon insiders sold approximately $4.4-4.7M in shares over the trailing three months with zero recorded purchases, all three recent insider transactions being sells — a signal of net insider selling, not conviction buying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Devon clears nearly every target: D/E of 55% is well under the 70% target, ROE of 17.74% exceeds the 15% target, and Forward P/E of 12.50x is comfortably below the 20x target [7]. Q2 2026 revenue of $7.42B (+80.2% YoY) beat estimates by over $1.4B, though this growth is materially inflated by Coterra merger consolidation rather than pure organic production growth [1]. Profit margin of 16.5% is solid but short of the 20% target. On dividend metrics, Devon has paid dividends continuously since 1993 (31+ consecutive years), raised the dividend for 9 consecutive years, cut its payout ratio to a conservative ~25%, and just hiked the quarterly dividend after Q2 2026 results — supporting a strong estimated 5-year dividend growth trajectory [8]. Five-year revenue CAGR is excluded (null) given the metric is distorted by the 2020 COVID production trough and multiple large acquisitions (WPX 2021, Grayson Mill 2024, Coterra 2026), making a like-for-like organic figure unreliable. Liquidity clears the floor easily: ~12.93M average daily volume x $44.86 stock price = ~$580M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Devon under new CEO Clay Gaspar has executed a genuinely fast, well-integrated transformational merger with Coterra and is deploying AI aggressively across operations, but the company's guiding language centers on shareholder value and operational excellence rather than an idealistic cause bigger than the business. This reads as a well-run, disciplined operator focused on the current consolidation cycle and synergy capture rather than a company built around a Just Cause that would survive a change in ownership or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Devon's mission statement leads with building 'value for shareholders' and frames safety, environmental stewardship, and ethics as means to that end rather than an independent purpose — a fairly standard E&amp;P mission that is interchangeable with peers and does not describe an idealistic future state the company is working toward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of 3.9/5 overall, 4.1/5 for work-life balance, and 3.9/5 for culture and values indicate a stable, respected workplace with 72% of employees recommending it to a friend [5]. However, Gaspar's rapid promotion from COO to CEO left a temporary leadership gap with operations overseen directly by the CEO and SVPs, and no standout evidence of exceptional psychological safety or tenure was identified beyond average-for-industry sentiment.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Public commentary from Gaspar and Devon management frames the Coterra deal and AI investment around scale, synergy capture, and cost advantage rather than acknowledging specific strengths of rivals like EOG Resources or Pioneer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Coterra merger substantially reshapes Devon's scale and asset base and pairs Coterra's well-prediction AI strengths with Devon's operational AI in production and completions, representing meaningful strategic adaptation [3]. This is additive consolidation and technology integration within the existing E&amp;P business model, however, not a transformative pivot into a fundamentally different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the Coterra merger in just 94 days and maintaining capital discipline (43% reinvestment rate, capex 2.4% below forecast even as production hit the top of guidance) shows decisive, disciplined leadership [1][2]. However, the merger was primarily a scale-and-synergy play rather than a principled sacrifice of near-term results for a longer-term cause, so this reflects operational courage rather than Sinek's ideal of costly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Devon Energy is executing one of the cleanest transformations in the shale patch: the Coterra Energy merger closed May 7, 2026 in just 94 days, and management is already tracking ahead of schedule on the $1B annual synergy target with 350+ initiatives identified [1][2]. Q2 2026 results beat estimates across the board — $7.42B revenue, $1.9B net income, $1.57 adjusted EPS, and $1.7B adjusted free cash flow, with oil production at the top of guidance (503 Mbbl/d) and capex running 2.4% below plan [1]. The balance sheet is exceptionally clean for an E&amp;P (D/E of 55%, ROE of 17.74%) trading at a modest 12.50x forward earnings, while the dividend was just raised after 9 consecutive years of growth and a conservative ~25% payout ratio. AI deployment is unusually deep for the sector — InnDrill/InnFrac platforms and AI-driven super-lateral drilling analytics are directly tied to synergy capture, positioning Devon as an efficiency leader among independent producers [3].</w:t>
      </w:r>
    </w:p>
    <w:p>
      <w:pPr>
        <w:spacing w:after="120"/>
      </w:pPr>
      <w:r>
        <w:rPr>
          <w:rFonts w:ascii="Calibri" w:hAnsi="Calibri"/>
          <w:b w:val="0"/>
          <w:color w:val="3A4A28"/>
          <w:sz w:val="20"/>
        </w:rPr>
        <w:t>The bear case centers on commodity cyclicality and integration execution risk rather than balance-sheet fragility. Q2 2026's 80.2% revenue growth is materially inflated by the Coterra consolidation rather than organic volume or price growth, so headline growth rates will normalize sharply once the merger anniversaries [1]. Devon remains fundamentally exposed to oil and gas price volatility that no amount of AI-driven drilling efficiency can fully offset, and insiders have been net sellers (~$4.4-4.7M sold, zero purchases in the trailing three months), a modest but notable signal during a period of major corporate change [6]. The mission statement's explicit shareholder-value framing and the absence of a distinctive Just Cause mean Devon scores as a well-run operator rather than an infinite-game company, and a CEO transition (Gaspar, March 2025) still absorbing COO duties adds a degree of organizational stretch during the largest integration in company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ahead-of-schedule delivery on the $1B Coterra merger synergy target, with 350+ initiatives already identified and AI-driven super-lateral drilling analytics providing a repeatable efficiency lever beyond the 2027 target date [2][3]</w:t>
      </w:r>
    </w:p>
    <w:p>
      <w:pPr>
        <w:spacing w:before="40" w:after="40"/>
        <w:ind w:left="283"/>
      </w:pPr>
      <w:r>
        <w:rPr>
          <w:rFonts w:ascii="Calibri" w:hAnsi="Calibri"/>
          <w:b/>
          <w:color w:val="4A6B25"/>
          <w:sz w:val="20"/>
        </w:rPr>
        <w:t xml:space="preserve">2. </w:t>
      </w:r>
      <w:r>
        <w:rPr>
          <w:rFonts w:ascii="Calibri" w:hAnsi="Calibri"/>
          <w:b w:val="0"/>
          <w:color w:val="3A4A28"/>
          <w:sz w:val="20"/>
        </w:rPr>
        <w:t>Sustained free cash flow generation ($1.7B in Q2 2026 alone) at a 43% reinvestment rate supporting further dividend growth on top of the 9-year increase streak and the dividend hike announced with Q2 2026 results [1][8]</w:t>
      </w:r>
    </w:p>
    <w:p>
      <w:pPr>
        <w:spacing w:before="40" w:after="40"/>
        <w:ind w:left="283"/>
      </w:pPr>
      <w:r>
        <w:rPr>
          <w:rFonts w:ascii="Calibri" w:hAnsi="Calibri"/>
          <w:b/>
          <w:color w:val="4A6B25"/>
          <w:sz w:val="20"/>
        </w:rPr>
        <w:t xml:space="preserve">3. </w:t>
      </w:r>
      <w:r>
        <w:rPr>
          <w:rFonts w:ascii="Calibri" w:hAnsi="Calibri"/>
          <w:b w:val="0"/>
          <w:color w:val="3A4A28"/>
          <w:sz w:val="20"/>
        </w:rPr>
        <w:t>Q3 2026 stepping up to 550-560 Mbbl/d oil production as the first full combined quarter with Coterra, providing the first clean read on the integrated entity's underlying organic production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and gas price volatility remains the dominant swing factor for earnings and free cash flow; Q2 2026's outperformance was driven partly by favorable oil pricing that could reverse quickly given global supply dynamics [1]</w:t>
      </w:r>
    </w:p>
    <w:p>
      <w:pPr>
        <w:spacing w:before="40" w:after="40"/>
        <w:ind w:left="283"/>
      </w:pPr>
      <w:r>
        <w:rPr>
          <w:rFonts w:ascii="Calibri" w:hAnsi="Calibri"/>
          <w:b/>
          <w:color w:val="4A6B25"/>
          <w:sz w:val="20"/>
        </w:rPr>
        <w:t xml:space="preserve">2. </w:t>
      </w:r>
      <w:r>
        <w:rPr>
          <w:rFonts w:ascii="Calibri" w:hAnsi="Calibri"/>
          <w:b w:val="0"/>
          <w:color w:val="3A4A28"/>
          <w:sz w:val="20"/>
        </w:rPr>
        <w:t>Reported revenue growth of 80.2% YoY is a merger-consolidation artifact, not organic growth — once the Coterra deal anniversaries in mid-2027, headline growth comparisons will normalize and could disappoint investors extrapolating the current trend [1]</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(~$4.4-4.7M sold, zero buys in the trailing 90 days) during the largest integration in company history is a modest yellow flag on leadership's near-term conviction in the stock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Devon's core business — physically extracting and producing oil and natural gas from the ground — is structurally immune to AI substitution; no AI application can replace the physical drilling, completions, and production infrastructure that generates revenue. Beyond immunity, AI is an explicit efficiency enabler: management describes a 'third wave' of AI redesigning internal processes, with AI agents optimizing well design, sequencing completions, and predicting well performance basin-wide across the newly combined Devon-Coterra asset base [3]. AI Opportunity (1/1): Devon quantifies AI's contribution to value creation — AI-driven analytics for 'super-lateral' drilling (wells stretching 3+ miles) are explicitly cited as a driver of the $1B annual pre-tax synergy target from the Coterra merger, with 350+ synergy initiatives already identified and tracking ahead of schedule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Devon Energy Q2 2026 Earnings Call Transcript and Results — The Motley Fool, BigGo Finance, Investing.com, QuiverQuant, August 2026</w:t>
      </w:r>
    </w:p>
    <w:p>
      <w:pPr>
        <w:spacing w:before="20" w:after="20"/>
        <w:ind w:left="170"/>
      </w:pPr>
      <w:r>
        <w:rPr>
          <w:rFonts w:ascii="Calibri" w:hAnsi="Calibri"/>
          <w:b/>
          <w:color w:val="4A6B25"/>
          <w:sz w:val="15"/>
        </w:rPr>
        <w:t xml:space="preserve">2. </w:t>
      </w:r>
      <w:r>
        <w:rPr>
          <w:rFonts w:ascii="Calibri" w:hAnsi="Calibri"/>
          <w:b w:val="0"/>
          <w:color w:val="3A4A28"/>
          <w:sz w:val="17"/>
        </w:rPr>
        <w:t>The $26 Billion / $58 Billion Shale Titan: Devon Energy and Coterra Energy Complete Merger — FinancialContent MarketMinute, April 2026</w:t>
      </w:r>
    </w:p>
    <w:p>
      <w:pPr>
        <w:spacing w:before="20" w:after="20"/>
        <w:ind w:left="170"/>
      </w:pPr>
      <w:r>
        <w:rPr>
          <w:rFonts w:ascii="Calibri" w:hAnsi="Calibri"/>
          <w:b/>
          <w:color w:val="4A6B25"/>
          <w:sz w:val="15"/>
        </w:rPr>
        <w:t xml:space="preserve">3. </w:t>
      </w:r>
      <w:r>
        <w:rPr>
          <w:rFonts w:ascii="Calibri" w:hAnsi="Calibri"/>
          <w:b w:val="0"/>
          <w:color w:val="3A4A28"/>
          <w:sz w:val="17"/>
        </w:rPr>
        <w:t>Post-merger Devon Sees Big Role for AI, Seeks $1 Billion in Synergies; Devon Energy's 'Three Waves of AI' — Drilling Contractor, Marcellus Drilling News, 2026</w:t>
      </w:r>
    </w:p>
    <w:p>
      <w:pPr>
        <w:spacing w:before="20" w:after="20"/>
        <w:ind w:left="170"/>
      </w:pPr>
      <w:r>
        <w:rPr>
          <w:rFonts w:ascii="Calibri" w:hAnsi="Calibri"/>
          <w:b/>
          <w:color w:val="4A6B25"/>
          <w:sz w:val="15"/>
        </w:rPr>
        <w:t xml:space="preserve">4. </w:t>
      </w:r>
      <w:r>
        <w:rPr>
          <w:rFonts w:ascii="Calibri" w:hAnsi="Calibri"/>
          <w:b w:val="0"/>
          <w:color w:val="3A4A28"/>
          <w:sz w:val="17"/>
        </w:rPr>
        <w:t>Devon Energy Mission, Vision &amp; Values — Comparably, Pestel-Analysis,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Devon Energy Reviews — Glassdoor,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Devon Energy Insiders Sell Stock, Possibly Signalling Caution — Yahoo Finance, GuruFocus, AltIndex, 2026</w:t>
      </w:r>
    </w:p>
    <w:p>
      <w:pPr>
        <w:spacing w:before="20" w:after="20"/>
        <w:ind w:left="170"/>
      </w:pPr>
      <w:r>
        <w:rPr>
          <w:rFonts w:ascii="Calibri" w:hAnsi="Calibri"/>
          <w:b/>
          <w:color w:val="4A6B25"/>
          <w:sz w:val="15"/>
        </w:rPr>
        <w:t xml:space="preserve">7. </w:t>
      </w:r>
      <w:r>
        <w:rPr>
          <w:rFonts w:ascii="Calibri" w:hAnsi="Calibri"/>
          <w:b w:val="0"/>
          <w:color w:val="3A4A28"/>
          <w:sz w:val="17"/>
        </w:rPr>
        <w:t>Devon Energy (DVN) Statistics, Valuation, D/E, ROE, Forward P/E — StockAnalysis.com, GuruFocus,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Devon Energy Dividend History — Macrotrends (31-Year Dividend History), StockAnalysis.com, DividendMax, accessed August 2026</w:t>
      </w:r>
    </w:p>
    <w:p>
      <w:pPr>
        <w:spacing w:before="20" w:after="20"/>
        <w:ind w:left="170"/>
      </w:pPr>
      <w:r>
        <w:rPr>
          <w:rFonts w:ascii="Calibri" w:hAnsi="Calibri"/>
          <w:b/>
          <w:color w:val="4A6B25"/>
          <w:sz w:val="15"/>
        </w:rPr>
        <w:t xml:space="preserve">9. </w:t>
      </w:r>
      <w:r>
        <w:rPr>
          <w:rFonts w:ascii="Calibri" w:hAnsi="Calibri"/>
          <w:b w:val="0"/>
          <w:color w:val="3A4A28"/>
          <w:sz w:val="17"/>
        </w:rPr>
        <w:t>Devon Energy Sustainability — Environment, Flaring, Governance — Devon Energy Corporate Sustainability Site, KnowESG,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