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DX</w:t>
      </w:r>
      <w:r>
        <w:rPr>
          <w:rFonts w:ascii="Calibri" w:hAnsi="Calibri"/>
          <w:b/>
          <w:color w:val="1A2010"/>
          <w:sz w:val="40"/>
        </w:rPr>
        <w:t xml:space="preserve">  Dynex Capital, Inc.</w:t>
      </w:r>
    </w:p>
    <w:p>
      <w:pPr>
        <w:spacing w:after="120"/>
      </w:pPr>
      <w:r>
        <w:rPr>
          <w:rFonts w:ascii="Calibri" w:hAnsi="Calibri"/>
          <w:b/>
          <w:color w:val="6E8450"/>
          <w:sz w:val="18"/>
        </w:rPr>
        <w:t>DIVIDEND SLEEVE · 2026-08-22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Mortgage REIT · NYSE · United States</w:t>
      </w:r>
    </w:p>
    <w:p>
      <w:pPr>
        <w:spacing w:after="80"/>
      </w:pPr>
      <w:r>
        <w:rPr>
          <w:rFonts w:ascii="Calibri" w:hAnsi="Calibri"/>
          <w:b w:val="0"/>
          <w:color w:val="3A4A28"/>
          <w:sz w:val="20"/>
        </w:rPr>
        <w:t>Dynex Capital is a mortgage real estate investment trust (mREIT) that invests in agency and non-agency mortgage-backed securities on a leveraged basis. The company generates income from the spread between the yield on its mortgage assets and its borrowing costs, primarily through repurchase agreements. Co-led by Byron Boston (Chairman/Co-CEO) and Smriti Popenoe (President/Co-CEO/CIO), Dynex reported Q2 2026 total economic return of $0.81/share (6.4% of book value) with book value of $12.90/share. Market cap is approximately $3.2B with leverage of 8.1x shareholders' equity.</w:t>
      </w:r>
    </w:p>
    <w:p>
      <w:r>
        <w:rPr>
          <w:rFonts w:ascii="Calibri" w:hAnsi="Calibri"/>
          <w:b/>
          <w:color w:val="6E8450"/>
          <w:sz w:val="18"/>
        </w:rPr>
        <w:t>28 Employees · https://www.dynexcapital.com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Dynex has made incremental improvements to its investment strategy over the past five years, navigating the 2022-2024 interest rate shock by shifting portfolio composition toward agency RMBS and reducing non-agency exposure. The co-CEO promotion of Smriti Popenoe in 2024 and hiring of a CTO (Harman Sahni) represent organizational evolution, but no transformative business model pivots have occurred [1]. AI Deployment (0/2): No evidence of AI-powered products or quantifiable AI-driven efficiencies. As a 28-employee mREIT, AI deployment is not core to the business model. The company hired a CTO to lead technology strategy, and board member Alec Crawford is a thought leader in AI risk management, but no shipped AI products or specific savings have been reported [2]. Market Share (1/2): Dynex is a meaningful player in the agency mREIT space but is not a category leader — AGNC Investment and Annaly Capital are substantially larger. However, Dynex has carved out a niche with its disciplined leverage approach and has grown its market cap and share count materially in recent years. Product Pipeline (0/2): mREITs do not have traditional product pipelines. The company's 'pipeline' is its investment strategy and portfolio positioning, which evolves with rate environment but lacks specific next-gen product visibility. R&amp;D Intensity (1/1): Dynex has invested above peer average in technology infrastructure by hiring a CTO and building data analytics capabilities — unusual for a sub-30-employee mREIT, reflecting intentional investment in technology differentiation.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Dynex Capital's stated purpose focuses on 'generating attractive risk-adjusted returns for shareholders through disciplined investment in mortgage-backed securities.' The co-CEO model with Byron Boston and Smriti Popenoe — one of the few female co-CEOs in the REIT sector — reflects intentionality around leadership diversity, and Boston has spoken publicly about building a resilient organization beyond quarterly results [2]. However, the mission remains fundamentally about returns rather than a broader societal purpose. Community Impact (1/2): Limited evidence of distinctive community or charitable programs, though the company participates in standard corporate citizenship activities. As a 28-person firm, the scope for community impact is inherently limited. Employee Retention (1/2): With only 28 employees, Dynex operates as a tight-knit team. The co-CEO model and executive promotions from within (Popenoe's elevation, other executive promotions announced in 2024) suggest leadership continuity and internal mobility [2]. However, no specific retention or tenure data is available for such a small organization. Insider Buying (0/2): No evidence of meaningful net insider buying was identified in recent searches. As a high-yield mREIT, insider transactions are less informative given the dividend-centric return structure.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Dynex's D/E of 713% scores 0 — the metric's floor of 300% is exceeded, though this is structural for mortgage REITs that operate with 7-8x leverage by design [1]. ROE of 18.23% and profit margin of 86.84% both score perfectly, reflecting the mREIT model's high pass-through profitability. Forward P/E of 8.85x scores well below the 20x target. Revenue growth YoY of approximately 93% scores perfectly, driven by net interest income recovery as rate spreads normalized, though this is cyclical rather than structural growth. Consecutive years of dividend payments (33 years since 1993) scores perfectly with 2x weight, demonstrating long-term income reliability through multiple rate cycles [3]. The main drags are payout ratio of 86.38% (above the 40% target but typical for REITs required to distribute 90%+ of taxable income) and consecutive years of dividend growth at only 1 year (dividend was cut during the 2022-2023 rate spike then restored). 5-year dividend growth CAGR of approximately 5.5% scores well but slightly below the 6% target. Daily dollar volume of ~$67M easily clears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Dynex Capital demonstrates moderate infinite game characteristics. The 33-year dividend payment history through multiple rate cycles shows endurance, and the co-CEO succession plan with Byron Boston elevating Smriti Popenoe reflects thoughtful leadership transition. However, the fundamental business model — leveraged spread investing in agency MBS — is inherently finite in its orientation: returns are driven by rate spread capture and leverage management, not by a cause that transcends the business. The co-CEO model is innovative for mREITs but serves operational continuity rather than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Dynex exists to generate risk-adjusted returns from mortgage-backed securities — a financial engineering purpose rather than a Just Cause in Sinek's framework. While the company contributes to mortgage market liquidity (connecting capital markets to housing), this societal benefit is not articulated as a driving purpose. Byron Boston has spoken about building resilience and organizational strength, but the language centers on investment performance rather than an idealistic future state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28 employees, Dynex operates as a small, cohesive team where trust is embedded by proximity. The co-CEO model — elevating Smriti Popenoe alongside Byron Boston — demonstrates trust in shared leadership, which is unusual in financial services [2]. Executive promotions from within and the CTO hire suggest intentional team building. However, the small size makes trust assessment less meaningful — organizational dynamics are fundamentally different at 28 versus 28,000 people. No specific employee sentiment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Dynex competes with AGNC Investment and Annaly Capital, both substantially larger mREITs. Management commentary focuses on Dynex's 'disciplined' approach to leverage versus peers, implicitly positioning competitors as less disciplined rather than acknowledging their strengths. The competitive framing is about differentiation through risk management rather than learning from rivals' scale advantages or operational efficiencies.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Dynex has demonstrated meaningful adaptability through rate cycles — shifting portfolio composition from non-agency to agency MBS, adjusting leverage ratios, and navigating the 2022-2024 rate shock that destroyed several mREIT peers [1]. The co-CEO transition and CTO hire represent incremental organizational evolution. However, the fundamental business model has remained the same for 33 years — leveraged MBS investing — with no transformative pivot. The adaptation has been tactical (portfolio positioning) rather than existential.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Dynex maintained its dividend payment commitment through the 2022-2024 rate cycle even as book value declined, choosing to reduce the dividend incrementally rather than eliminate it entirely — preserving income for shareholders at the cost of book value dilution [3]. The decision to promote Popenoe to co-CEO and invest in technology infrastructure (CTO hire) represents forward-looking investment. However, the company's capital allocation is fundamentally reactive to rate environments rather than proactively shaping the business through long-term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Dynex Capital at 8.85x forward earnings offers a 15.66% dividend yield backed by 33 consecutive years of dividend payments and a stabilizing rate environment. Q2 2026 total economic return of $0.81/share (6.4% of book value) with book value increasing $0.30 to $12.90/share demonstrates the mREIT model is working as rate spreads normalize [1]. The co-CEO leadership of Byron Boston and Smriti Popenoe provides experienced stewardship through rate cycles, and Popenoe's capital markets expertise (30+ years including Wachovia and Freddie Mac) positions the portfolio for optimal risk-adjusted returns. ROE of 18.23% on an agency MBS portfolio with 8.1x leverage reflects disciplined spread management. The stock trades at approximately 1.01x book value, offering near-par entry into a high-quality income stream with monthly distributions.</w:t>
      </w:r>
    </w:p>
    <w:p>
      <w:pPr>
        <w:spacing w:after="120"/>
      </w:pPr>
      <w:r>
        <w:rPr>
          <w:rFonts w:ascii="Calibri" w:hAnsi="Calibri"/>
          <w:b w:val="0"/>
          <w:color w:val="3A4A28"/>
          <w:sz w:val="20"/>
        </w:rPr>
        <w:t>The bear case centers on interest rate sensitivity, leverage risk, and dividend sustainability concerns. Dynex's D/E of 713% (8.1x leverage) means even modest adverse rate moves can significantly impair book value — the 2022-2024 rate hiking cycle saw book value decline from ~$18 to ~$12 per share, a 33% destruction [1]. The 86.38% payout ratio raises sustainability questions: Simply Wall St has flagged that EPS may decline 1.2% over the next two years, potentially requiring a dividend reduction to maintain sustainable payouts [3]. As a 28-person company with $22.65B in leveraged assets, Dynex has minimal operational margin of safety — key person risk is concentrated in the co-CEO team. The mREIT model is inherently procyclical: when rates stabilize, spreads narrow, and when rates spike, book value declines — there is no scenario where Dynex controls its own destiny independent of Fed policy. Revenue growth of 93% YoY is a one-time recovery from depressed 2024-2025 net interest income, not structural growth. The Inspire Impact Score of 21 (MIXED) reflects limited positive ESG attribution beyond basic regulatory compliance, which may constrain faith-based investor interest.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rate cutting cycle improving MBS valuations and expanding net interest margin spreads, driving book value recovery toward the ~$15 level last seen in early 2023 [1]</w:t>
      </w:r>
    </w:p>
    <w:p>
      <w:pPr>
        <w:spacing w:before="40" w:after="40"/>
        <w:ind w:left="283"/>
      </w:pPr>
      <w:r>
        <w:rPr>
          <w:rFonts w:ascii="Calibri" w:hAnsi="Calibri"/>
          <w:b/>
          <w:color w:val="4A6B25"/>
          <w:sz w:val="20"/>
        </w:rPr>
        <w:t xml:space="preserve">2. </w:t>
      </w:r>
      <w:r>
        <w:rPr>
          <w:rFonts w:ascii="Calibri" w:hAnsi="Calibri"/>
          <w:b w:val="0"/>
          <w:color w:val="3A4A28"/>
          <w:sz w:val="20"/>
        </w:rPr>
        <w:t>Monthly dividend of $0.17/share ($2.04 annualized, 15.66% yield) providing compelling current income with potential for further increases as spread environment improves [3]</w:t>
      </w:r>
    </w:p>
    <w:p>
      <w:pPr>
        <w:spacing w:before="40" w:after="40"/>
        <w:ind w:left="283"/>
      </w:pPr>
      <w:r>
        <w:rPr>
          <w:rFonts w:ascii="Calibri" w:hAnsi="Calibri"/>
          <w:b/>
          <w:color w:val="4A6B25"/>
          <w:sz w:val="20"/>
        </w:rPr>
        <w:t xml:space="preserve">3. </w:t>
      </w:r>
      <w:r>
        <w:rPr>
          <w:rFonts w:ascii="Calibri" w:hAnsi="Calibri"/>
          <w:b w:val="0"/>
          <w:color w:val="3A4A28"/>
          <w:sz w:val="20"/>
        </w:rPr>
        <w:t>Co-CEO succession model with Smriti Popenoe providing long-term leadership continuity and capital markets expertise as Byron Boston approaches eventual retirement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volatility remains the dominant risk — a 100bp rate spike could reduce book value by 10-15% given 8.1x leverage, and the 2022-2024 precedent showed 33% book value destruction during the hiking cycle [1]</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questioned with 86.38% payout ratio and analysts projecting EPS decline of 1.2% over two years — a dividend cut would trigger significant share price decline in a yield-focused investor base [3]</w:t>
      </w:r>
    </w:p>
    <w:p>
      <w:pPr>
        <w:spacing w:before="40" w:after="40"/>
        <w:ind w:left="283"/>
      </w:pPr>
      <w:r>
        <w:rPr>
          <w:rFonts w:ascii="Calibri" w:hAnsi="Calibri"/>
          <w:b/>
          <w:color w:val="4A6B25"/>
          <w:sz w:val="20"/>
        </w:rPr>
        <w:t xml:space="preserve">3. </w:t>
      </w:r>
      <w:r>
        <w:rPr>
          <w:rFonts w:ascii="Calibri" w:hAnsi="Calibri"/>
          <w:b w:val="0"/>
          <w:color w:val="3A4A28"/>
          <w:sz w:val="20"/>
        </w:rPr>
        <w:t>Concentrated key person risk with only 28 employees managing $22.65B in leveraged assets — departure of either co-CEO or CIO would materially impact operations and investor confidence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Dynex Capital's core business — investing in mortgage-backed securities using leveraged repo financing — is structurally immune to AI disruption. The business involves physical-world financial infrastructure: agency MBS backed by the U.S. government, repurchase agreement financing from broker-dealers, and interest rate risk management through derivatives [1]. AI cannot substitute for the capital, balance sheet, and regulatory structure required to operate a mortgage REIT. The deeply regulated REIT structure (90%+ distribution requirement, SEC/IRS compliance) creates additional protection. AI tools may marginally improve portfolio analytics and risk management, but the fundamental business of borrowing short and lending long through MBS cannot be displaced by software. The only exposure is that AI-driven trading algorithms could compress spreads, reducing the net interest margin available to all mREITs. AI Opportunity (0/1): Dynex does not generate AI-related revenue. As a 28-person mREIT, AI is a potential internal efficiency tool but not a revenue source. Board member Alec Crawford's AI risk expertise could inform governance but does not constitute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Dynex Capital Q2 2026 Earnings Release — Total Economic Return $0.81/share (6.4%), Book Value $12.90/share, Leverage 8.1x, SEC Form 8-K, July 2026</w:t>
      </w:r>
    </w:p>
    <w:p>
      <w:pPr>
        <w:spacing w:before="20" w:after="20"/>
        <w:ind w:left="170"/>
      </w:pPr>
      <w:r>
        <w:rPr>
          <w:rFonts w:ascii="Calibri" w:hAnsi="Calibri"/>
          <w:b/>
          <w:color w:val="4A6B25"/>
          <w:sz w:val="15"/>
        </w:rPr>
        <w:t xml:space="preserve">2. </w:t>
      </w:r>
      <w:r>
        <w:rPr>
          <w:rFonts w:ascii="Calibri" w:hAnsi="Calibri"/>
          <w:b w:val="0"/>
          <w:color w:val="3A4A28"/>
          <w:sz w:val="17"/>
        </w:rPr>
        <w:t>Dynex Capital Leadership and Co-CEO Structure — Byron Boston/Smriti Popenoe Co-CEO Promotion, CTO Hire Harman Sahni, Alec Crawford AI Board Expertise, BusinessWire July 2024</w:t>
      </w:r>
    </w:p>
    <w:p>
      <w:pPr>
        <w:spacing w:before="20" w:after="20"/>
        <w:ind w:left="170"/>
      </w:pPr>
      <w:r>
        <w:rPr>
          <w:rFonts w:ascii="Calibri" w:hAnsi="Calibri"/>
          <w:b/>
          <w:color w:val="4A6B25"/>
          <w:sz w:val="15"/>
        </w:rPr>
        <w:t xml:space="preserve">3. </w:t>
      </w:r>
      <w:r>
        <w:rPr>
          <w:rFonts w:ascii="Calibri" w:hAnsi="Calibri"/>
          <w:b w:val="0"/>
          <w:color w:val="3A4A28"/>
          <w:sz w:val="17"/>
        </w:rPr>
        <w:t>Dynex Capital Dividend History and Sustainability — Annual Dividend $2.04, Yield 15.66%, Payout 86.38%, 33 Years Consecutive Payments, StockAnalysis/Simply Wall 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DX Key Statistics: Forward P/E 8.85, D/E 713%, ROE 18.23%, Profit Margin 86.84%, Stock Price $13.03,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