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EPAM</w:t>
      </w:r>
      <w:r>
        <w:rPr>
          <w:rFonts w:ascii="Calibri" w:hAnsi="Calibri"/>
          <w:b/>
          <w:color w:val="1A2010"/>
          <w:sz w:val="40"/>
        </w:rPr>
        <w:t xml:space="preserve">  EPAM Systems, Inc.</w:t>
      </w:r>
    </w:p>
    <w:p>
      <w:pPr>
        <w:spacing w:after="120"/>
      </w:pPr>
      <w:r>
        <w:rPr>
          <w:rFonts w:ascii="Calibri" w:hAnsi="Calibri"/>
          <w:b/>
          <w:color w:val="6E8450"/>
          <w:sz w:val="18"/>
        </w:rPr>
        <w:t>GROWTH SLEEVE · 2026-08-06 · Inspire: 53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F8E1" w:val="clear"/>
          </w:tcPr>
          <w:p>
            <w:pPr>
              <w:spacing w:before="40" w:after="40"/>
              <w:jc w:val="center"/>
            </w:pPr>
            <w:r>
              <w:rPr>
                <w:rFonts w:ascii="Calibri" w:hAnsi="Calibri"/>
                <w:b/>
                <w:color w:val="D97706"/>
                <w:sz w:val="20"/>
              </w:rPr>
              <w:t>HOLD</w:t>
            </w:r>
          </w:p>
        </w:tc>
      </w:tr>
    </w:tbl>
    <w:p>
      <w:pPr>
        <w:spacing w:before="120" w:after="200"/>
      </w:pPr>
      <w:r>
        <w:rPr>
          <w:rFonts w:ascii="Calibri" w:hAnsi="Calibri"/>
          <w:b/>
          <w:color w:val="1A2010"/>
          <w:sz w:val="80"/>
        </w:rPr>
        <w:t>60</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Technology · Information Technology Services · NYSE · United States</w:t>
      </w:r>
    </w:p>
    <w:p>
      <w:pPr>
        <w:spacing w:after="80"/>
      </w:pPr>
      <w:r>
        <w:rPr>
          <w:rFonts w:ascii="Calibri" w:hAnsi="Calibri"/>
          <w:b w:val="0"/>
          <w:color w:val="3A4A28"/>
          <w:sz w:val="20"/>
        </w:rPr>
        <w:t>EPAM Systems is a global provider of digital platform engineering, software development, and AI-Native transformation services. Founded in 1993 by Belarusian immigrant Arkadiy Dobkin, the company serves Fortune 500 enterprises across financial services, healthcare, travel, and technology sectors. EPAM operates delivery centers across 50+ countries and generates TTM revenue of approximately $5.5B. CEO Balazs Fejes, a 20-year company veteran, assumed leadership in September 2025.</w:t>
      </w:r>
    </w:p>
    <w:p>
      <w:r>
        <w:rPr>
          <w:rFonts w:ascii="Calibri" w:hAnsi="Calibri"/>
          <w:b/>
          <w:color w:val="6E8450"/>
          <w:sz w:val="18"/>
        </w:rPr>
        <w:t>52,000 Employees · https://www.epam.com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EPAM has successfully evolved from an Eastern European IT outsourcing firm to a global AI-Native transformation engineering leader, with Q1 2026 revenue of $1.4B representing 7.6% YoY growth [1]. The strategic pivot to AI-driven consulting and platform engineering services has opened new enterprise revenue streams, though the transition is ongoing with full-year 2026 guidance of only 4-6.5% growth. The planned CEO succession from founder Dobkin to Balazs Fejes was executed smoothly in September 2025 [2]. AI Deployment (2/2): EPAM positions itself as a global leader in AI-Native transformation, helping enterprises deploy AI across their operations. The company's own workflows extensively use AI tools, and Glassdoor employees cite AI adoption as a positive differentiator [2]. EPAM's AI consulting and engineering services represent direct AI products sold to customers. Market Share (1/2): EPAM is a meaningful player in the $800B+ IT services market but competes against significantly larger firms (Accenture, Infosys, TCS, Cognizant). The company's differentiation lies in engineering quality and Eastern European talent, though geographic diversification post-Ukraine has expanded the delivery footprint [3]. Product Pipeline (1/2): EPAM AI platform and AI-Native consulting offerings are expanding, with non-GAAP operating margins guided to 15-16% for FY2026 reflecting investment in AI capabilities [1]. Specific next-gen service offerings are being developed but timelines and revenue visibility are typical for a services business. R&amp;D Intensity (1/1): Above-average R&amp;D investment for an IT services firm, with significant internal AI tool development and structured mentorship/training programs [2].</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EPAM's purpose centers on empowering enterprises through engineering excellence and AI-Native transformation — clear and identifies the company's work and audience, but fundamentally describes a service offering rather than a transformative vision of a better future. The mission is professional but not distinctively inspirational [2]. Community Impact (2/2): During the Ukraine crisis, EPAM committed $100M in humanitarian support for employees in Ukraine and their families, one of the largest corporate humanitarian commitments of the conflict [3]. This represents significant, distinctive community investment with specific dollar amounts aligned with protecting human welfare. Employee Retention (1/2): EPAM was named #7 on Glassdoor's Best-Led Companies of 2025 and Top 3 in Glassdoor's Tech &amp; AI category for 2026, with recognition for structured mentorship programs, transparent leadership, and culture of belonging [2]. These rankings suggest above-average employee engagement, though mixed Glassdoor reviews and no specific retention/tenure data prevent a higher score. Insider Buying (0/2): Insider ownership of 3.64% with no evidence of meaningful net insider buying by CEO Fejes, founder Dobkin, or other executives in the last 12 months.</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9</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961"/>
            <w:shd w:fill="16A34A" w:val="clear"/>
          </w:tcPr>
          <w:p>
            <w:pPr>
              <w:spacing w:before="0" w:after="0"/>
            </w:pPr>
            <w:r>
              <w:rPr>
                <w:rFonts w:ascii="Calibri" w:hAnsi="Calibri"/>
                <w:b w:val="0"/>
                <w:color w:val="1A2010"/>
                <w:sz w:val="4"/>
              </w:rPr>
            </w:r>
          </w:p>
        </w:tc>
        <w:tc>
          <w:tcPr>
            <w:tcW w:type="dxa" w:w="55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all metrics including Forward PEG. EPAM's balance sheet is exceptionally clean — D/E of just 8% with $1.04B in cash against only $287.9M in total debt, yielding $749M in net cash [4]. Forward P/E of 8.24 and Forward PEG of 0.81 represent deep value for a technology services company with 12% 5-year revenue CAGR, suggesting the market is pricing in significant AI disruption risk. ROE of 10.93% is below the 15% target, reflecting the asset-light services model's lower capital efficiency. Profit margin of 6.96% is thin, well below the 20% target, as EPAM reinvests in AI capabilities and absorbs geographic restructuring costs post-Ukraine. Revenue growth of 7.6% YoY (Q1 2026) is below the 10% target but accelerating from the Ukraine-impacted trough years. Daily dollar volume of ~$166.3M provides excellent institutional liquidity.</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5</w:t>
      </w:r>
      <w:r>
        <w:rPr>
          <w:rFonts w:ascii="Calibri" w:hAnsi="Calibri"/>
          <w:b w:val="0"/>
          <w:color w:val="9DAF88"/>
          <w:sz w:val="18"/>
        </w:rPr>
        <w:t xml:space="preserve"> /10</w:t>
      </w:r>
    </w:p>
    <w:p>
      <w:pPr>
        <w:spacing w:after="120"/>
      </w:pPr>
      <w:r>
        <w:rPr>
          <w:rFonts w:ascii="Calibri" w:hAnsi="Calibri"/>
          <w:b w:val="0"/>
          <w:color w:val="3A4A28"/>
          <w:sz w:val="18"/>
        </w:rPr>
        <w:t>EPAM demonstrates mixed infinite game characteristics. The principled exit from Russia at enormous cost ($25B in market value destruction) and $100M humanitarian commitment to Ukrainian employees reveal genuine courage and purpose beyond profit. However, the company's core Just Cause remains tied to its service offering rather than a transcendent vision, and the existential challenge of AI disruption to the IT services model creates uncertainty about whether the company is adapting to keep playing or fighting for survival.</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(1/3): EPAM's purpose revolves around engineering excellence and enabling enterprise digital transformation — a genuine commitment validated by 30+ years of building a world-class engineering culture, but fundamentally a description of what the company does rather than a vision of a future worth sacrificing for [2]. The company's founder story (Belarusian immigrant building a global engineering powerhouse) is inspiring, but the purpose statement does not rise to the level of a Just Cause in Sinek's framework — it is interchangeable with other IT services firms.</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Glassdoor recognition as #7 Best-Led Company (2025) and Top 3 in Tech &amp; AI (2026) provides evidence of above-average employee engagement and leadership trust [2]. Structured mentorship programs and culture of belonging are cited as differentiators. However, mixed Glassdoor reviews reference 'cult-like' culture around the founder and leadership challenges, and the massive geographic restructuring post-Ukraine (relocating thousands of engineers from Belarus, Russia, and Ukraine to other countries) created significant organizational disruption [3]. The planned CEO succession suggests leadership continuity.</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EPAM's competitive positioning focuses on differentiating from larger IT services peers (Accenture, Infosys, TCS) through engineering quality rather than acknowledging rivals' strengths as motivation for self-improvement. No evidence of management commentary that frames competition in learning-oriented terms was identified in public statements.</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EPAM has evolved its business model significantly over its history — from Eastern European IT outsourcing to global digital engineering to AI-Native transformation consulting [2]. The geographic diversification away from Ukraine/Belarus/Russia (where ~23,000 employees were based pre-2022) to 50+ countries represents forced but successful adaptation. The pivot to AI-Native services is a proactive strategic evolution. These changes are meaningful but incremental market adaptations rather than transformative reinvention of the core business model.</w:t>
      </w:r>
    </w:p>
    <w:p>
      <w:pPr>
        <w:spacing w:before="200" w:after="40"/>
      </w:pPr>
      <w:r>
        <w:rPr>
          <w:rFonts w:ascii="Calibri" w:hAnsi="Calibri"/>
          <w:b/>
          <w:color w:val="1A2010"/>
          <w:sz w:val="22"/>
        </w:rPr>
        <w:t>Courage To Lead</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(2/2): EPAM's decision to exit Russia early in the conflict, discontinuing all services to Russian customers when the company had ~9,000 employees there, destroyed $25B in market capitalization as the stock fell 55% [3]. The simultaneous $100M humanitarian commitment to support employees in Ukraine and their families — one of the largest corporate humanitarian responses to the conflict — demonstrated leadership willing to sacrifice shareholder value for human welfare. The planned CEO succession from founder Dobkin to veteran Fejes shows long-term thinking about organizational continuity over founder dependence.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EPAM at $109.87 with Forward P/E of 8.24 and PEG of 0.81 trades at deep value for a technology services company with $1.04B in cash, $749M net cash, and 9.47% FCF yield [4]. Q1 2026 revenue grew 7.6% YoY to $1.4B with non-GAAP EPS up 18.7%, and operating margins expanded from 7.6% to 8.3% as the company emerges from the Ukraine-driven trough [1]. EPAM's pivot to AI-Native transformation consulting positions it to capture enterprise AI implementation spend, and the Glassdoor Top 3 Tech &amp; AI recognition validates its engineering culture as a competitive differentiator [2]. The analyst consensus 'Buy' with a $133.94 target implies 22% upside, and the clean balance sheet (D/E 8%) provides resilience.</w:t>
      </w:r>
    </w:p>
    <w:p>
      <w:pPr>
        <w:spacing w:after="120"/>
      </w:pPr>
      <w:r>
        <w:rPr>
          <w:rFonts w:ascii="Calibri" w:hAnsi="Calibri"/>
          <w:b w:val="0"/>
          <w:color w:val="3A4A28"/>
          <w:sz w:val="20"/>
        </w:rPr>
        <w:t>The bear case centers on existential AI disruption risk to the IT services business model. AI coding tools are directly reducing the number of billable developer-hours enterprises need to purchase, threatening the fundamental unit economics of EPAM's labor-arbitrage model [4]. Short interest of 18.27% and the 28% stock decline over the past year reflect deep skepticism about whether the AI-Native consulting pivot can offset the structural decline in traditional engineering services demand. Full-year 2026 revenue guidance of 4-6.5% growth is modest for a company trading at growth multiples, and profit margin of 6.96% leaves little room for error. The Ukraine/Russia geographic restructuring is largely complete, removing a restructuring tailwind to margins. If AI tools continue to accelerate developer productivity by 30-50% annually, EPAM faces secular headcount and billing rate pressure that no consulting pivot can fully offset.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Enterprise AI adoption wave driving demand for EPAM's AI-Native transformation services could offset traditional engineering demand decline, with Q1 2026 already showing 7.6% organic growth and operating margin expansion to 8.3% [1]</w:t>
      </w:r>
    </w:p>
    <w:p>
      <w:pPr>
        <w:spacing w:before="40" w:after="40"/>
        <w:ind w:left="283"/>
      </w:pPr>
      <w:r>
        <w:rPr>
          <w:rFonts w:ascii="Calibri" w:hAnsi="Calibri"/>
          <w:b/>
          <w:color w:val="4A6B25"/>
          <w:sz w:val="20"/>
        </w:rPr>
        <w:t xml:space="preserve">2. </w:t>
      </w:r>
      <w:r>
        <w:rPr>
          <w:rFonts w:ascii="Calibri" w:hAnsi="Calibri"/>
          <w:b w:val="0"/>
          <w:color w:val="3A4A28"/>
          <w:sz w:val="20"/>
        </w:rPr>
        <w:t>Deep value entry point — Forward PEG of 0.81 and 9.47% FCF yield suggest the market has over-discounted AI disruption risk, creating potential for significant re-rating if revenue growth reaccelerates toward double digits [4]</w:t>
      </w:r>
    </w:p>
    <w:p>
      <w:pPr>
        <w:spacing w:before="40" w:after="40"/>
        <w:ind w:left="283"/>
      </w:pPr>
      <w:r>
        <w:rPr>
          <w:rFonts w:ascii="Calibri" w:hAnsi="Calibri"/>
          <w:b/>
          <w:color w:val="4A6B25"/>
          <w:sz w:val="20"/>
        </w:rPr>
        <w:t xml:space="preserve">3. </w:t>
      </w:r>
      <w:r>
        <w:rPr>
          <w:rFonts w:ascii="Calibri" w:hAnsi="Calibri"/>
          <w:b w:val="0"/>
          <w:color w:val="3A4A28"/>
          <w:sz w:val="20"/>
        </w:rPr>
        <w:t>New CEO Balazs Fejes, a 20-year engineering veteran, brings fresh strategic direction and operational focus that could accelerate the AI services pivot while maintaining EPAM's engineering culture advantage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AI coding tools (Copilot, Claude, Cursor) directly reduce demand for billable developer-hours, threatening the labor-arbitrage business model that generates EPAM's revenue — 18.27% short interest reflects bear conviction that this disruption is accelerating [4]</w:t>
      </w:r>
    </w:p>
    <w:p>
      <w:pPr>
        <w:spacing w:before="40" w:after="40"/>
        <w:ind w:left="283"/>
      </w:pPr>
      <w:r>
        <w:rPr>
          <w:rFonts w:ascii="Calibri" w:hAnsi="Calibri"/>
          <w:b/>
          <w:color w:val="4A6B25"/>
          <w:sz w:val="20"/>
        </w:rPr>
        <w:t xml:space="preserve">2. </w:t>
      </w:r>
      <w:r>
        <w:rPr>
          <w:rFonts w:ascii="Calibri" w:hAnsi="Calibri"/>
          <w:b w:val="0"/>
          <w:color w:val="3A4A28"/>
          <w:sz w:val="20"/>
        </w:rPr>
        <w:t>Revenue growth deceleration to 4-6.5% guidance for FY2026 on top of profit margin of only 6.96% suggests the company may be entering a structural slow-growth phase rather than a cyclical trough [1]</w:t>
      </w:r>
    </w:p>
    <w:p>
      <w:pPr>
        <w:spacing w:before="40" w:after="40"/>
        <w:ind w:left="283"/>
      </w:pPr>
      <w:r>
        <w:rPr>
          <w:rFonts w:ascii="Calibri" w:hAnsi="Calibri"/>
          <w:b/>
          <w:color w:val="4A6B25"/>
          <w:sz w:val="20"/>
        </w:rPr>
        <w:t xml:space="preserve">3. </w:t>
      </w:r>
      <w:r>
        <w:rPr>
          <w:rFonts w:ascii="Calibri" w:hAnsi="Calibri"/>
          <w:b w:val="0"/>
          <w:color w:val="3A4A28"/>
          <w:sz w:val="20"/>
        </w:rPr>
        <w:t>Geopolitical concentration risk persists — while EPAM has diversified delivery from Ukraine/Belarus/Russia, significant operations remain in Eastern Europe and the company's talent brand is still associated with conflict-zone origins, potentially limiting enterprise client acquisition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(4/9): EPAM's core business — selling engineering hours and consulting services for software development and digital transformation — faces direct AI substitution risk. AI coding assistants (GitHub Copilot, Cursor, Claude) are already reducing the number of developer-hours needed for routine coding, testing, and documentation tasks that form a significant portion of EPAM's billable work [2]. The stock's 28% decline over the past year and 18.27% short interest reflect market concern about AI replacing IT services demand [4]. Goldman Sachs and other analysts have identified IT services as one of the most AI-exposed sectors. However, EPAM's positioning in complex enterprise transformation and AI implementation consulting creates some defensive moat — enterprises still need human expertise to design, integrate, and manage AI systems at scale. The risk is real but EPAM is better positioned than commodity outsourcers. AI Opportunity (1/1): EPAM generates direct revenue from AI-Native transformation services, helping enterprises adopt, deploy, and operationalize AI across their businesses. The company is Glassdoor's Top 3 Tech &amp; AI employer and positions AI consulting as a core growth vector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53</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Customer Privacy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Ethical Labor Practices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Low Ecological Impact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Regulatory Adherence </w:t>
      </w:r>
      <w:r>
        <w:rPr>
          <w:rFonts w:ascii="Calibri" w:hAnsi="Calibri"/>
          <w:b w:val="0"/>
          <w:color w:val="9DAF88"/>
          <w:sz w:val="17"/>
        </w:rPr>
        <w:t xml:space="preserve">  ·  </w:t>
      </w:r>
      <w:r>
        <w:rPr>
          <w:rFonts w:ascii="Calibri" w:hAnsi="Calibri"/>
          <w:b/>
          <w:color w:val="16A34A"/>
          <w:sz w:val="17"/>
        </w:rPr>
        <w:t xml:space="preserve"> Systemic Risk Mitigation </w:t>
      </w:r>
      <w:r>
        <w:rPr>
          <w:rFonts w:ascii="Calibri" w:hAnsi="Calibri"/>
          <w:b w:val="0"/>
          <w:color w:val="9DAF88"/>
          <w:sz w:val="17"/>
        </w:rPr>
        <w:t xml:space="preserve">  ·  </w:t>
      </w:r>
      <w:r>
        <w:rPr>
          <w:rFonts w:ascii="Calibri" w:hAnsi="Calibri"/>
          <w:b/>
          <w:color w:val="16A34A"/>
          <w:sz w:val="17"/>
        </w:rPr>
        <w:t xml:space="preserve"> Waste and Hazmat Management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EPAM Systems Q1 2026 Earnings Release — Revenue $1.4B (7.6% YoY Growth), Non-GAAP EPS $2.86 (18.7% Growth), May 2026</w:t>
      </w:r>
    </w:p>
    <w:p>
      <w:pPr>
        <w:spacing w:before="20" w:after="20"/>
        <w:ind w:left="170"/>
      </w:pPr>
      <w:r>
        <w:rPr>
          <w:rFonts w:ascii="Calibri" w:hAnsi="Calibri"/>
          <w:b/>
          <w:color w:val="4A6B25"/>
          <w:sz w:val="15"/>
        </w:rPr>
        <w:t xml:space="preserve">2. </w:t>
      </w:r>
      <w:r>
        <w:rPr>
          <w:rFonts w:ascii="Calibri" w:hAnsi="Calibri"/>
          <w:b w:val="0"/>
          <w:color w:val="3A4A28"/>
          <w:sz w:val="17"/>
        </w:rPr>
        <w:t>EPAM Named Top 3 Tech &amp; AI Employer by Glassdoor 2026, #7 Best-Led Companies 2025, CEO Succession to Balazs Fejes, 2025-2026</w:t>
      </w:r>
    </w:p>
    <w:p>
      <w:pPr>
        <w:spacing w:before="20" w:after="20"/>
        <w:ind w:left="170"/>
      </w:pPr>
      <w:r>
        <w:rPr>
          <w:rFonts w:ascii="Calibri" w:hAnsi="Calibri"/>
          <w:b/>
          <w:color w:val="4A6B25"/>
          <w:sz w:val="15"/>
        </w:rPr>
        <w:t xml:space="preserve">3. </w:t>
      </w:r>
      <w:r>
        <w:rPr>
          <w:rFonts w:ascii="Calibri" w:hAnsi="Calibri"/>
          <w:b w:val="0"/>
          <w:color w:val="3A4A28"/>
          <w:sz w:val="17"/>
        </w:rPr>
        <w:t>EPAM Ukraine Crisis Response — $100M Humanitarian Commitment, Russia Exit, Geographic Restructuring, 2022-2026</w:t>
      </w:r>
    </w:p>
    <w:p>
      <w:pPr>
        <w:spacing w:before="20" w:after="20"/>
        <w:ind w:left="170"/>
      </w:pPr>
      <w:r>
        <w:rPr>
          <w:rFonts w:ascii="Calibri" w:hAnsi="Calibri"/>
          <w:b/>
          <w:color w:val="4A6B25"/>
          <w:sz w:val="15"/>
        </w:rPr>
        <w:t xml:space="preserve">4. </w:t>
      </w:r>
      <w:r>
        <w:rPr>
          <w:rFonts w:ascii="Calibri" w:hAnsi="Calibri"/>
          <w:b w:val="0"/>
          <w:color w:val="3A4A28"/>
          <w:sz w:val="17"/>
        </w:rPr>
        <w:t>StockAnalysis.com — EPAM Financial Statistics, Valuation, Volume, and Market Data, accessed August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