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EQNR</w:t>
      </w:r>
      <w:r>
        <w:rPr>
          <w:rFonts w:ascii="Calibri" w:hAnsi="Calibri"/>
          <w:b/>
          <w:color w:val="1A2010"/>
          <w:sz w:val="40"/>
        </w:rPr>
        <w:t xml:space="preserve">  Equinor ASA</w:t>
      </w:r>
    </w:p>
    <w:p>
      <w:pPr>
        <w:spacing w:after="120"/>
      </w:pPr>
      <w:r>
        <w:rPr>
          <w:rFonts w:ascii="Calibri" w:hAnsi="Calibri"/>
          <w:b/>
          <w:color w:val="6E8450"/>
          <w:sz w:val="18"/>
        </w:rPr>
        <w:t>DIVIDEND SLEEVE · 2026-08-22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Integrated · NYSE · Norway</w:t>
      </w:r>
    </w:p>
    <w:p>
      <w:pPr>
        <w:spacing w:after="80"/>
      </w:pPr>
      <w:r>
        <w:rPr>
          <w:rFonts w:ascii="Calibri" w:hAnsi="Calibri"/>
          <w:b w:val="0"/>
          <w:color w:val="3A4A28"/>
          <w:sz w:val="20"/>
        </w:rPr>
        <w:t>Equinor ASA is a Norwegian integrated energy company engaged in exploration, production, refining, and marketing of oil, natural gas, and renewable energy. The company operates on the Norwegian Continental Shelf and internationally across 30+ countries, with a growing renewables portfolio focused on offshore wind. Q2 2026 revenues surged 40% YoY to $35.18B driven by higher commodity prices, with net income of $4.84B (+267% YoY). Production reached 2.165 million boe/d (+3%). The Norwegian government owns 67% of the company. Market cap is approximately $102B.</w:t>
      </w:r>
    </w:p>
    <w:p>
      <w:r>
        <w:rPr>
          <w:rFonts w:ascii="Calibri" w:hAnsi="Calibri"/>
          <w:b/>
          <w:color w:val="6E8450"/>
          <w:sz w:val="18"/>
        </w:rPr>
        <w:t>24,140 Employees · https://www.equinor.com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Equinor has executed a meaningful strategic pivot from pure-play oil and gas to an integrated energy company over the past five years. The rebranding from Statoil to Equinor (2018) signaled the shift, and the company has since built the world's largest floating offshore wind farm (Hywind Tampen), developed the Empire Wind project off New York, and invested in carbon capture and storage at Northern Lights [1]. This is a genuine multi-year transformation of a century-old oil company. AI Deployment (1/2): Equinor has moved beyond AI pilots to scaled operational deployment through platforms like Omnia.Prevent (predictive maintenance) and AIM (autonomous inspection), reporting quantifiable financial returns from these systems across its 21,000-person workforce [2]. The company has cultivated a deliberate AI philosophy — AI as a tool to augment human experts — but no standalone AI revenue products are shipping to external customers. Market Share (1/2): Equinor is the dominant operator on the Norwegian Continental Shelf and a meaningful global oil and gas producer at 2.165 million boe/d, though it ranks below the supermajors (ExxonMobil, Shell, BP) globally. In offshore wind, Equinor is an emerging leader but has not yet captured dominant share [1]. Product Pipeline (1/2): The company has a visible pipeline including Empire Wind offshore, Northern Lights CCS, and continued NCS development, with organic capex guided at ~$13B for 2026. However, specific next-gen product launches with revenue timelines are limited beyond general energy transition targets. R&amp;D Intensity (1/1): Equinor invests above the oil and gas industry average in technology and digital innovation, with dedicated R&amp;D centers and the Omnia digital platform representing substantial technology investment.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Equinor's purpose — 'turning natural resources into energy for people and progress' while pursuing net zero by 2050 — is clear and connects the company's work to societal progress beyond shareholder returns [2]. The energy transition framing under CEO Anders Opedal positions the company's pivot to renewables as purpose-driven rather than purely economic. However, the tension between fossil fuel operations (still the vast majority of revenue) and the clean energy narrative limits the authenticity of the mission. Community Impact (1/2): Equinor contributes significantly to Norwegian social welfare through the government's 67% ownership stake, which funds the sovereign wealth fund. The company has community investment programs in operating regions and publishes detailed sustainability reports [3]. However, specific charitable programs with distinctive dollar amounts are less prominent than the structural government contribution. Employee Retention (1/2): Equinor maintains a stable workforce of 24,140 employees with long average tenure typical of Norwegian companies. The engineering culture under CEO Opedal (the first engineer to become CEO) emphasizes technology and digital literacy [2]. However, no specific voluntary turnover data was identified. Insider Buying (1/2): With 67% government ownership, insider buying dynamics differ from typical public companies. No evidence of meaningful net insider buying by management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Equinor demonstrates strong financial fundamentals with D/E of 75% (near the 70% target), ROE of 21.27% (above the 15% target), and Forward P/E of 9.02x (well below the 20x target) [4]. Revenue growth YoY of approximately 25% scores perfectly, driven by the recovery in global oil and gas prices with Q2 2026 revenues up 40% YoY to $35.18B [1]. Profit margin of 7.97% is the main drag, below the 20% target — reflecting the high cost structure of integrated oil operations including exploration, refining, and renewables investment. Dividend metrics score well: payout ratio of 35.37% is below the 40% target, consecutive years of dividend payments (~27 years since the late 1990s) scores perfectly at 2x weight, and estimated 5-year dividend growth CAGR of ~11.3% scores perfectly at 2x weight [4]. Consecutive years of dividend growth at 3 years (post-COVID recovery) is the weaker dividend metric. 5-year revenue CAGR of ~3.1% reflects commodity price cyclicality rather than structural growth. Daily dollar volume of ~$124M easily clears the $1M liquidity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Equinor demonstrates meaningful infinite game characteristics through its multi-decade energy transition strategy and the institutional stability provided by 67% Norwegian government ownership. CEO Anders Opedal frames the energy transition as a business opportunity rather than a regulatory burden, and the company is investing billions in offshore wind and CCS as long-term bets that may not pay off for decades. However, the tension between the clean energy narrative and the reality of being primarily a fossil fuel company (&gt;90% of revenue from oil and gas) creates a 'just cause' credibility gap. The UK greenwashing ruling underscores this disconnect.</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Equinor's purpose — 'turning natural resources into energy for people and progress' with a net zero by 2050 ambition — is genuine and has shaped significant capital allocation decisions, including plans for 50%+ of total investment in renewables and low-carbon solutions by 2030 [3]. The Statoil-to-Equinor rebrand was a symbolic commitment to this broader purpose. However, the cause has not yet survived a true existential test — the company still generates &gt;90% of revenue from fossil fuels, and the UK ASA greenwashing ruling suggests the cause exceeds the execution [3]. A Just Cause should be validated by decades of consistent action, not just stated ambition.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Equinor benefits from Norwegian corporate culture, which emphasizes flat hierarchies, consensus-based decision-making, and strong employee protections [2]. The 24,140-person workforce operates under robust labor laws and collective bargaining agreements. CEO Opedal has invested in digital literacy programs across the organization, and the AI philosophy ('AI augments human experts, not replaces them') signals respect for workforce capabilities. However, the company has undergone organizational restructuring with executive changes in technology and innovation roles, and no specific employee sentiment data distinguishes Equinor from Norwegian corporate norms.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Equinor's competitive posture explicitly acknowledges the strengths of supermajors like Shell and BP in energy transition execution, and uses competitive benchmarking to improve its own renewables strategy. Management frames competition in terms of 'who can most effectively deliver the energy transition' rather than market share warfare in oil and gas [2]. The decision to partner with BP on Empire Wind and with Shell on Northern Lights CCS demonstrates willingness to collaborate with rivals when it serves the broader energy transition objective.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transformation from Statoil (a pure-play Norwegian oil company) to Equinor (an integrated energy company with significant renewables ambitions) represents meaningful strategic evolution. The company has committed billions to offshore wind, CCS, and hydrogen — businesses that did not exist in its portfolio a decade ago [1]. However, the pivot is still early-stage: fossil fuels remain &gt;90% of revenue, and the renewables portfolio has not yet proven commercially viable at scale. This is evolution, not yet transformation — Equinor has not abandoned its core fossil fuel business in service of the cause.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Equinor has made several courageous long-term bets: investing billions in floating offshore wind (Hywind Tampen, Empire Wind) before the technology is commercially proven, committing to Northern Lights CCS infrastructure, and targeting 50%+ renewable investment by 2030 [1]. CEO Opedal increased the Q2 2026 dividend and share buybacks during a strong earnings period rather than hoarding cash, demonstrating confidence in the cash flow trajectory. However, these investments are funded by high oil prices — the courage would be more convincing if the company maintained renewables investment during an oil price downturn, a test that has not yet occurred.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Equinor at 9.0x forward earnings offers a dividend-growing energy major with government-backed stability and a visible energy transition roadmap. Q2 2026 results were exceptional — revenue surged 40% YoY to $35.18B with net income of $4.84B (+267%) driven by higher commodity prices and 3% production growth to 2.165 million boe/d [1]. The 3.0% dividend yield with a conservative 35% payout ratio provides substantial room for continued dividend growth (11.3% 5-year CAGR), and the company is actively returning capital through share buybacks [4]. ROE of 21.27% on $102B market cap demonstrates strong capital efficiency for an integrated energy company. The 67% Norwegian government ownership provides institutional stability and reduced governance risk. The offshore wind portfolio (Hywind Tampen, Empire Wind) and Northern Lights CCS position Equinor as a credible energy transition player among oil majors, with 50%+ of investment targeted for renewables by 2030 [3]. Free cash flow of $9.6B funds both shareholder returns and transition investment.</w:t>
      </w:r>
    </w:p>
    <w:p>
      <w:pPr>
        <w:spacing w:after="120"/>
      </w:pPr>
      <w:r>
        <w:rPr>
          <w:rFonts w:ascii="Calibri" w:hAnsi="Calibri"/>
          <w:b w:val="0"/>
          <w:color w:val="3A4A28"/>
          <w:sz w:val="20"/>
        </w:rPr>
        <w:t>The bear case centers on commodity price dependency, energy transition execution risk, and the structural challenge of ESG positioning. Equinor's financial performance is fundamentally driven by oil and gas prices — the 267% net income jump in Q2 2026 reflects price recovery, not operational transformation, and a sustained oil price decline to $50/barrel would materially impair earnings, dividends, and transition funding [1]. The 5-year revenue CAGR of just 3.1% reflects commodity price cyclicality rather than structural growth. Profit margin of 7.97% is modest for a company generating $106B in revenue, reflecting the high cost structure of integrated operations and growing renewables investment that does not yet generate competitive returns. The UK ASA greenwashing ruling highlights the credibility gap between Equinor's clean energy narrative and its &gt;90% fossil fuel revenue reality [3]. The Inspire Impact Score of 0 (MIXED) with no positive or negative attributions reflects this ambiguity — Equinor is neither clearly aligned nor misaligned for faith-based investors. The energy transition portfolio carries significant execution risk: offshore wind projects face cost overruns, permitting delays, and uncertain long-term economics, while CCS technology remains commercially unproven at scale. Norwegian tax regime changes could reduce the attractive economics that have historically benefited shareholders.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Higher commodity prices driving exceptional cash generation — Q2 2026 adjusted operating income of $11.48B enables accelerated shareholder returns through dividend increases and buybacks while maintaining energy transition investment [1]</w:t>
      </w:r>
    </w:p>
    <w:p>
      <w:pPr>
        <w:spacing w:before="40" w:after="40"/>
        <w:ind w:left="283"/>
      </w:pPr>
      <w:r>
        <w:rPr>
          <w:rFonts w:ascii="Calibri" w:hAnsi="Calibri"/>
          <w:b/>
          <w:color w:val="4A6B25"/>
          <w:sz w:val="20"/>
        </w:rPr>
        <w:t xml:space="preserve">2. </w:t>
      </w:r>
      <w:r>
        <w:rPr>
          <w:rFonts w:ascii="Calibri" w:hAnsi="Calibri"/>
          <w:b w:val="0"/>
          <w:color w:val="3A4A28"/>
          <w:sz w:val="20"/>
        </w:rPr>
        <w:t>Offshore wind portfolio maturation with Hywind Tampen operational and Empire Wind progressing toward first power, potentially re-rating Equinor from 'oil company' to 'integrated energy company' valuation [1]</w:t>
      </w:r>
    </w:p>
    <w:p>
      <w:pPr>
        <w:spacing w:before="40" w:after="40"/>
        <w:ind w:left="283"/>
      </w:pPr>
      <w:r>
        <w:rPr>
          <w:rFonts w:ascii="Calibri" w:hAnsi="Calibri"/>
          <w:b/>
          <w:color w:val="4A6B25"/>
          <w:sz w:val="20"/>
        </w:rPr>
        <w:t xml:space="preserve">3. </w:t>
      </w:r>
      <w:r>
        <w:rPr>
          <w:rFonts w:ascii="Calibri" w:hAnsi="Calibri"/>
          <w:b w:val="0"/>
          <w:color w:val="3A4A28"/>
          <w:sz w:val="20"/>
        </w:rPr>
        <w:t>AI data center electricity demand growth creating structural tailwind for Equinor's natural gas and renewable power generation assets as hyperscalers seek reliable baseload and clean energy supply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Commodity price dependency means a sustained oil price decline to $50-60/barrel would compress earnings by 40-50%, threatening the dividend growth trajectory and energy transition investment funding [1]</w:t>
      </w:r>
    </w:p>
    <w:p>
      <w:pPr>
        <w:spacing w:before="40" w:after="40"/>
        <w:ind w:left="283"/>
      </w:pPr>
      <w:r>
        <w:rPr>
          <w:rFonts w:ascii="Calibri" w:hAnsi="Calibri"/>
          <w:b/>
          <w:color w:val="4A6B25"/>
          <w:sz w:val="20"/>
        </w:rPr>
        <w:t xml:space="preserve">2. </w:t>
      </w:r>
      <w:r>
        <w:rPr>
          <w:rFonts w:ascii="Calibri" w:hAnsi="Calibri"/>
          <w:b w:val="0"/>
          <w:color w:val="3A4A28"/>
          <w:sz w:val="20"/>
        </w:rPr>
        <w:t>Energy transition execution risk as offshore wind projects face cost overruns, permitting delays, and uncertain long-term returns — Equinor's Empire Wind has already experienced cost revisions, and CCS technology remains commercially unproven at scale [3]</w:t>
      </w:r>
    </w:p>
    <w:p>
      <w:pPr>
        <w:spacing w:before="40" w:after="40"/>
        <w:ind w:left="283"/>
      </w:pPr>
      <w:r>
        <w:rPr>
          <w:rFonts w:ascii="Calibri" w:hAnsi="Calibri"/>
          <w:b/>
          <w:color w:val="4A6B25"/>
          <w:sz w:val="20"/>
        </w:rPr>
        <w:t xml:space="preserve">3. </w:t>
      </w:r>
      <w:r>
        <w:rPr>
          <w:rFonts w:ascii="Calibri" w:hAnsi="Calibri"/>
          <w:b w:val="0"/>
          <w:color w:val="3A4A28"/>
          <w:sz w:val="20"/>
        </w:rPr>
        <w:t>Greenwashing credibility gap highlighted by UK ASA ruling undermines ESG positioning and could trigger ESG fund divestment, while the Inspire Impact Score of 0 limits faith-based investor appeal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Equinor's core business — exploring for, producing, and refining hydrocarbons from deepwater and Arctic environments — involves physical-world operations that AI structurally cannot displace [1]. Offshore oil platforms, subsea infrastructure, refining assets, and LNG facilities require massive capital investment and physical operations that no AI system can substitute. The regulatory environment (Norwegian petroleum law, safety requirements, environmental permitting) creates additional structural protection. AI may actually increase demand for energy as AI data centers drive electricity consumption growth — Equinor's gas and renewable power assets benefit from this trend. The only AI exposure is potential automation of engineering workflows and back-office functions, which represents efficiency gains rather than revenue displacement. AI Opportunity (0/1): Equinor deploys AI internally through Omnia.Prevent and AIM platforms for operational efficiency, but does not generate external AI revenue. The company is an AI consumer, using it for predictive maintenance, reservoir modeling, and safety monitoring, but it is not selling AI products to external customers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Equinor Q2 2026 Earnings Release — Revenue $35.18B (+40%), Net Income $4.84B (+267%), Production 2.165M boe/d (+3%), Organic Capex ~$13B Guide, July 2026</w:t>
      </w:r>
    </w:p>
    <w:p>
      <w:pPr>
        <w:spacing w:before="20" w:after="20"/>
        <w:ind w:left="170"/>
      </w:pPr>
      <w:r>
        <w:rPr>
          <w:rFonts w:ascii="Calibri" w:hAnsi="Calibri"/>
          <w:b/>
          <w:color w:val="4A6B25"/>
          <w:sz w:val="15"/>
        </w:rPr>
        <w:t xml:space="preserve">2. </w:t>
      </w:r>
      <w:r>
        <w:rPr>
          <w:rFonts w:ascii="Calibri" w:hAnsi="Calibri"/>
          <w:b w:val="0"/>
          <w:color w:val="3A4A28"/>
          <w:sz w:val="17"/>
        </w:rPr>
        <w:t>Equinor AI Strategy and Leadership — CEO Anders Opedal, Omnia.Prevent/AIM AI Platforms, Digital Literacy Program, 24,140 Employees, Klover.ai/ResearchGate Analysis</w:t>
      </w:r>
    </w:p>
    <w:p>
      <w:pPr>
        <w:spacing w:before="20" w:after="20"/>
        <w:ind w:left="170"/>
      </w:pPr>
      <w:r>
        <w:rPr>
          <w:rFonts w:ascii="Calibri" w:hAnsi="Calibri"/>
          <w:b/>
          <w:color w:val="4A6B25"/>
          <w:sz w:val="15"/>
        </w:rPr>
        <w:t xml:space="preserve">3. </w:t>
      </w:r>
      <w:r>
        <w:rPr>
          <w:rFonts w:ascii="Calibri" w:hAnsi="Calibri"/>
          <w:b w:val="0"/>
          <w:color w:val="3A4A28"/>
          <w:sz w:val="17"/>
        </w:rPr>
        <w:t>Equinor ESG and Greenwashing — UK ASA Ruling on Misleading Ads, MSCI AAA ESG Rating, Net Zero by 2050 Ambition, 50%+ Renewable Investment by 2030, Sustainability Reports</w:t>
      </w:r>
    </w:p>
    <w:p>
      <w:pPr>
        <w:spacing w:before="20" w:after="20"/>
        <w:ind w:left="170"/>
      </w:pPr>
      <w:r>
        <w:rPr>
          <w:rFonts w:ascii="Calibri" w:hAnsi="Calibri"/>
          <w:b/>
          <w:color w:val="4A6B25"/>
          <w:sz w:val="15"/>
        </w:rPr>
        <w:t xml:space="preserve">4. </w:t>
      </w:r>
      <w:r>
        <w:rPr>
          <w:rFonts w:ascii="Calibri" w:hAnsi="Calibri"/>
          <w:b w:val="0"/>
          <w:color w:val="3A4A28"/>
          <w:sz w:val="17"/>
        </w:rPr>
        <w:t>StockAnalysis.com — EQNR Key Statistics: Forward P/E 9.02, D/E 75%, ROE 21.27%, Profit Margin 7.97%, Dividend Yield 3.0%, Payout 35.37%, Stock Price $42.86,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