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ETOR</w:t>
      </w:r>
      <w:r>
        <w:rPr>
          <w:rFonts w:ascii="Calibri" w:hAnsi="Calibri"/>
          <w:b/>
          <w:color w:val="1A2010"/>
          <w:sz w:val="40"/>
        </w:rPr>
        <w:t xml:space="preserve">  eToro Group Ltd.</w:t>
      </w:r>
    </w:p>
    <w:p>
      <w:pPr>
        <w:spacing w:after="120"/>
      </w:pPr>
      <w:r>
        <w:rPr>
          <w:rFonts w:ascii="Calibri" w:hAnsi="Calibri"/>
          <w:b/>
          <w:color w:val="6E8450"/>
          <w:sz w:val="18"/>
        </w:rPr>
        <w:t>GROWTH SLEEVE · 2026-08-02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Israel</w:t>
      </w:r>
    </w:p>
    <w:p>
      <w:pPr>
        <w:spacing w:after="80"/>
      </w:pPr>
      <w:r>
        <w:rPr>
          <w:rFonts w:ascii="Calibri" w:hAnsi="Calibri"/>
          <w:b w:val="0"/>
          <w:color w:val="3A4A28"/>
          <w:sz w:val="20"/>
        </w:rPr>
        <w:t>eToro Group Ltd. operates a multi-asset social trading and investing platform enabling retail investors to trade equities, crypto assets, commodities, currencies, and options. The company pioneered social investing through CopyTrader and Smart Portfolios, and offers the AI companion Tori (powered by Grok 4.2), AI Agent Portfolios, and eToro Academy. eToro serves 4.07 million funded accounts with $18.7 billion in assets under administration across 100+ countries. Founded in 2007 in Israel, eToro completed its Nasdaq IPO in May 2025.</w:t>
      </w:r>
    </w:p>
    <w:p>
      <w:r>
        <w:rPr>
          <w:rFonts w:ascii="Calibri" w:hAnsi="Calibri"/>
          <w:b/>
          <w:color w:val="6E8450"/>
          <w:sz w:val="18"/>
        </w:rPr>
        <w:t>1,520 Employees · https://www.etoro.com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eToro has transformed from a simple forex platform (2007) into a comprehensive multi-asset social investing ecosystem, pioneering CopyTrader and enabling early Bitcoin trading (2013) [1]. The Nasdaq IPO (May 2025) was successfully completed, funded accounts grew to 4.07M (up 13% YoY), and AUA reached $18.7B (up 19% YoY) [2]. Q1 2026 net contribution of $258M (+19% YoY) with net income of $82.4M (+37% YoY) demonstrates accelerating business momentum. However, total revenue including crypto pass-through declined 35% QoQ showing cyclical sensitivity. AI Deployment (2/2): Tori AI companion launched with persistent memory, real-time X intelligence via Grok 4.2, and ability to create/manage AI-driven Agent Portfolios through conversation [3]. CEO Assia declared eToro 'an AI-first company' with specific production AI features serving millions of users. Capital markets trades surged 50% YoY in April 2026 as AI tools drive engagement. Market Share (1/2): eToro is the leading social trading platform globally with 4.07M funded accounts, but competes against Robinhood, Interactive Brokers, and established brokerage giants with larger scale [1]. The social/copy trading niche differentiates but limits addressable market versus full-service brokerages. Product Pipeline (1/2): Plans to expand tradable assets to 100,000, AI Agent Portfolio enhancements, and public API launch provide specific product visibility [1][3]. R&amp;D Intensity (1/1): Over 200 employees dedicated to regtech plus significant investment in Tori AI platform and Agent Portfolios demonstrate above-average R&amp;D commitment for a fintech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eToro's founding mission — 'to open up the financial markets for all' — is specific, thoughtful, and has genuinely shaped product decisions for nearly two decades [1]. CopyTrader enables novice investors to follow experienced traders, eToro Academy provides free education, and Tori AI democratizes investment analysis. Assia's 19-year commitment to this vision through multiple market cycles validates the purpose. However, 'democratizing finance' is now a common fintech mission (Robinhood, Wealthfront), reducing distinctiveness, and 52% of retail CFD accounts lose money, creating tension with the democratization narrative. Community Impact (0/2): No specific charitable programs or community investment with quantified impact beyond eToro Academy (primarily a customer acquisition tool). Employee Retention (1/2): Management team has an average tenure of 12 years, exceptional for fintech [1]. Assia's 19-year founder-CEO leadership provides stability. However, Glassdoor rating of 3.3/5 and Comparably bottom 45% for executive team suggest mixed broader satisfaction; employee reviews cite layoff concerns and organizational politics [4]. Insider Buying (1/2): Founder Yoni Assia maintains significant equity ownership, aligning long-term interests. As a recently IPO'd company, post-IPO insider transaction data is limited, but founder equity retention signals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eToro's balance sheet is exceptionally clean: D/E of 2% with only $33.7M in debt against $1.047B in cash ($12.75/share net cash) [2]. ROE of 21% exceeds the 15% target on a 2x-weighted growth metric, reflecting efficient capital deployment. Q1 2026 net contribution grew 19% YoY to $258M, with Q1 net income of $82.4M (up 37%) and adjusted EBITDA of $109M at a 42% margin [2]. Forward P/E of 12.9x is attractive for a high-growth fintech with AI integration upside, scoring a perfect 1.0 on the metric. Profit margin of 3.4% on total revenue (which includes $2.15B in crypto pass-through volume) appears low but is distorted by revenue classification — net contribution margin is ~32% ($82.4M/$258M) [2]. Liquidity clears: 669K avg volume x $35.67 = $23.9M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eToro demonstrates solid infinite game characteristics through founder Yoni Assia's 19-year commitment to democratizing financial markets, consistent mission execution from forex to crypto to social investing to AI, and a management team with 12-year average tenure. The company plays to keep building its platform rather than optimizing for short-term profitability. However, the fintech industry's rapid evolution and intense competition create finite-game pressures, and Glassdoor data suggests organizational culture challenges.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eToro's mission — 'opening the financial markets for all' through social investing — is genuine, distinctive, and has shaped strategic decisions over 19 years [1]. CopyTrader, eToro Academy, and Tori AI companion all serve the cause of enabling novice investors to participate alongside experienced traders. Assia has held this vision consistently through crypto winters, market crashes, and industry disruption, including contrarian Bitcoin adoption in 2013. However, 'democratizing finance' is increasingly common in fintech (Robinhood, Wealthfront), and the 52% CFD loss rate creates tension with the democratization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team's 12-year average tenure is exceptional for fintech, and Assia's 19-year founder-CEO leadership provides stability [1]. The 1,520-person workforce has maintained operational coherence through IPO and rapid growth. However, Glassdoor 3.3/5 rating, Comparably bottom 45% for executive team, and employee reviews citing layoff concerns and organizational politics suggest adequate but not exceptional organizational trust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eToro acknowledges and learns from competitors' strengths — the company adopted zero-commission trading (pioneered by Robinhood), expanded crypto offerings (acknowledging crypto-native platforms), and invested in AI (responding to AI-native investment tools) [1][3]. Head of US Andrew McCormick frames AI competition constructively: 'AI will not replace copy trading. It will make it better.' Management uses competitive dynamics as motivation to improve the platform for users.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eToro has evolved meaningfully — from forex platform to multi-asset broker, then adding social/copy trading as core differentiator, early cryptocurrency adoption (2013), Nasdaq IPO (2025), and now pivoting to an 'AI-first' platform with Tori and Agent Portfolios [1][3]. Each evolution expanded scope in service of the democratization mission. The AI pivot is the most recent and potentially most transformative — Agent Portfolios fundamentally change how users interact with the platform. These are significant incremental evolutions rather than existential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Assia demonstrated courage by offering Bitcoin trading in 2013 — years before mainstream fintech adoption — when cryptocurrency was widely dismissed [1]. Pursuing a Nasdaq IPO (May 2025) after years of waiting for favorable conditions, rather than taking easier private funding, showed commitment to public accountability. Declaring eToro 'AI-first' and investing heavily in Tori and Agent Portfolios while the core copy trading business was performing represents a courageous strategic bet on AI transformation [3]. These are genuine but measured bets rather than pattern-breaking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eToro is a founder-led fintech platform trading at 12.9x forward P/E — a significant discount to fintech peers — with Q1 2026 net income of $82.4M (up 37% YoY), 21% ROE, and $1.047B in net cash ($12.75/share representing 36% of the stock price) [2]. CEO Assia's 19-year track record of prescient technology bets — from pioneering social trading to early Bitcoin (2013) to the Tori AI companion — demonstrates consistent innovation, and the 'AI-first' pivot with Grok 4.2-powered Agent Portfolios positions eToro at the intersection of social investing and AI [3]. Funded accounts grew 13% to 4.07M with AUA up 19% to $18.7B, and capital markets trades surged 50% in April 2026 as AI tools drive engagement [2]. The management team's 12-year average tenure provides unusual continuity for a high-growth fintech.</w:t>
      </w:r>
    </w:p>
    <w:p>
      <w:pPr>
        <w:spacing w:after="120"/>
      </w:pPr>
      <w:r>
        <w:rPr>
          <w:rFonts w:ascii="Calibri" w:hAnsi="Calibri"/>
          <w:b w:val="0"/>
          <w:color w:val="3A4A28"/>
          <w:sz w:val="20"/>
        </w:rPr>
        <w:t>The bear case centers on AI disruption risk, margin vulnerability, and revenue cyclicality. eToro's core CopyTrader differentiation faces direct AI disruption as competitors build AI-powered investing tools that could commoditize social trading — every brokerage can now offer personalized AI investment advice [1][3]. Profit margin of 3.4% on total revenue (distorted by crypto pass-through) leaves thin margin for error, and total revenue declined 35% in Q1 2026 vs Q1 2025 as crypto trading volume compressed [2]. Average daily trading volume of the stock itself dropped to 669K from 1.39M, suggesting institutional interest has waned since the IPO peak. The 52% retail CFD loss rate creates regulatory and reputational risk, and Glassdoor 3.3/5 with Comparably bottom 45% executive ratings suggest organizational culture challenges that could constrain talent retention in competitive fintech markets [4]. The Israel headquarters creates geopolitical risk amid regional tensions.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platform transformation — Tori AI companion with Grok 4.2, AI Agent Portfolios managed through conversation, and 50% surge in capital markets trades suggest AI is driving measurable engagement growth [3]</w:t>
      </w:r>
    </w:p>
    <w:p>
      <w:pPr>
        <w:spacing w:before="40" w:after="40"/>
        <w:ind w:left="283"/>
      </w:pPr>
      <w:r>
        <w:rPr>
          <w:rFonts w:ascii="Calibri" w:hAnsi="Calibri"/>
          <w:b/>
          <w:color w:val="4A6B25"/>
          <w:sz w:val="20"/>
        </w:rPr>
        <w:t xml:space="preserve">2. </w:t>
      </w:r>
      <w:r>
        <w:rPr>
          <w:rFonts w:ascii="Calibri" w:hAnsi="Calibri"/>
          <w:b w:val="0"/>
          <w:color w:val="3A4A28"/>
          <w:sz w:val="20"/>
        </w:rPr>
        <w:t>Net cash of $1.047B ($12.75/share) represents 36% of the stock price, providing substantial downside protection and strategic optionality for acquisitions or share buybacks ($50M program authorized)</w:t>
      </w:r>
    </w:p>
    <w:p>
      <w:pPr>
        <w:spacing w:before="40" w:after="40"/>
        <w:ind w:left="283"/>
      </w:pPr>
      <w:r>
        <w:rPr>
          <w:rFonts w:ascii="Calibri" w:hAnsi="Calibri"/>
          <w:b/>
          <w:color w:val="4A6B25"/>
          <w:sz w:val="20"/>
        </w:rPr>
        <w:t xml:space="preserve">3. </w:t>
      </w:r>
      <w:r>
        <w:rPr>
          <w:rFonts w:ascii="Calibri" w:hAnsi="Calibri"/>
          <w:b w:val="0"/>
          <w:color w:val="3A4A28"/>
          <w:sz w:val="20"/>
        </w:rPr>
        <w:t>Forward P/E of 12.9x with 37% earnings growth offers meaningful re-rating potential if eToro sustains profitability and AI integration drives account growth toward 5M+ funded accounts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CopyTrader differentiation — generative AI enables any brokerage to offer personalized investment insights, potentially commoditizing eToro's primary competitive advantage as AI-native platforms emerge [3]</w:t>
      </w:r>
    </w:p>
    <w:p>
      <w:pPr>
        <w:spacing w:before="40" w:after="40"/>
        <w:ind w:left="283"/>
      </w:pPr>
      <w:r>
        <w:rPr>
          <w:rFonts w:ascii="Calibri" w:hAnsi="Calibri"/>
          <w:b/>
          <w:color w:val="4A6B25"/>
          <w:sz w:val="20"/>
        </w:rPr>
        <w:t xml:space="preserve">2. </w:t>
      </w:r>
      <w:r>
        <w:rPr>
          <w:rFonts w:ascii="Calibri" w:hAnsi="Calibri"/>
          <w:b w:val="0"/>
          <w:color w:val="3A4A28"/>
          <w:sz w:val="20"/>
        </w:rPr>
        <w:t>Revenue cyclicality — total revenue declined 35% in Q1 2026 vs Q1 2025 as crypto trading volume compressed, demonstrating severe dependence on crypto market conditions and retail trading sentiment [2]</w:t>
      </w:r>
    </w:p>
    <w:p>
      <w:pPr>
        <w:spacing w:before="40" w:after="40"/>
        <w:ind w:left="283"/>
      </w:pPr>
      <w:r>
        <w:rPr>
          <w:rFonts w:ascii="Calibri" w:hAnsi="Calibri"/>
          <w:b/>
          <w:color w:val="4A6B25"/>
          <w:sz w:val="20"/>
        </w:rPr>
        <w:t xml:space="preserve">3. </w:t>
      </w:r>
      <w:r>
        <w:rPr>
          <w:rFonts w:ascii="Calibri" w:hAnsi="Calibri"/>
          <w:b w:val="0"/>
          <w:color w:val="3A4A28"/>
          <w:sz w:val="20"/>
        </w:rPr>
        <w:t>Declining market interest — average daily trading volume dropped 52% to 669K shares from 1.39M post-IPO, and stock is down 44% from its $63.58 high, suggesting institutional investors are skeptical of the platform's staying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eToro's core platform — digital trading with social features — faces meaningful AI disruption risk. AI-native competitors could build automated investment tools that replicate CopyTrader's differentiation, and generative AI enables any brokerage to offer personalized portfolio management at near-zero cost. Robinhood and Interactive Brokers are deploying AI tools that could erode eToro's competitive moat [1]. However, eToro's 4.07M-user social network provides a community moat that pure AI tools cannot easily replicate — the social graph and popular investor ecosystem create switching costs. The 200-person regtech team provides regulatory compliance barriers in 100+ jurisdictions. eToro is actively adapting rather than being passively disrupted, though the outcome of AI's impact on social trading remains uncertain. AI Opportunity (1/1): eToro generates quantifiable AI-related value through Tori AI companion (with persistent memory and Grok 4.2 integration), AI Agent Portfolios managed through conversation, and AI-powered market analysis tools — all shipping to millions of users [3]. Capital markets trades surged 50% YoY in April 2026, partially attributed to AI tool engagement. CEO Assia's 'AI-first' declaration backs genuine product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eToro Corporate Profile and History — CEO Yoni Assia 19-year leadership, CopyTrader pioneer, Nasdaq IPO May 2025, management team tenure; etoro.com, Craft.co, 2025-2026</w:t>
      </w:r>
    </w:p>
    <w:p>
      <w:pPr>
        <w:spacing w:before="20" w:after="20"/>
        <w:ind w:left="170"/>
      </w:pPr>
      <w:r>
        <w:rPr>
          <w:rFonts w:ascii="Calibri" w:hAnsi="Calibri"/>
          <w:b/>
          <w:color w:val="4A6B25"/>
          <w:sz w:val="15"/>
        </w:rPr>
        <w:t xml:space="preserve">2. </w:t>
      </w:r>
      <w:r>
        <w:rPr>
          <w:rFonts w:ascii="Calibri" w:hAnsi="Calibri"/>
          <w:b w:val="0"/>
          <w:color w:val="3A4A28"/>
          <w:sz w:val="17"/>
        </w:rPr>
        <w:t>eToro Q1 2026 Earnings Release — Net contribution $258M (+19% YoY), net income $82.4M (+37%), adjusted EBITDA $109M (42% margin), $1.047B cash, 4.07M funded accounts, $18.7B AUA; investors.etoro.com, May 12, 2026</w:t>
      </w:r>
    </w:p>
    <w:p>
      <w:pPr>
        <w:spacing w:before="20" w:after="20"/>
        <w:ind w:left="170"/>
      </w:pPr>
      <w:r>
        <w:rPr>
          <w:rFonts w:ascii="Calibri" w:hAnsi="Calibri"/>
          <w:b/>
          <w:color w:val="4A6B25"/>
          <w:sz w:val="15"/>
        </w:rPr>
        <w:t xml:space="preserve">3. </w:t>
      </w:r>
      <w:r>
        <w:rPr>
          <w:rFonts w:ascii="Calibri" w:hAnsi="Calibri"/>
          <w:b w:val="0"/>
          <w:color w:val="3A4A28"/>
          <w:sz w:val="17"/>
        </w:rPr>
        <w:t>eToro AI Strategy — Tori AI companion with Grok 4.2, AI Agent Portfolios, CEO 'AI-first' declaration, AI democratizing alpha generation; Nasdaq/investors.etoro.com/Yahoo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eToro Employee Culture — Glassdoor 3.3/5 rating, Comparably bottom 45% executive team, employee reviews on layoffs and politics; Glassdoor/Comparably,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ETOR Key Statistics: $35.67 price, $2.84B market cap, PE 14.59, Forward PE 12.94, 669K avg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