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EWTX</w:t>
      </w:r>
      <w:r>
        <w:rPr>
          <w:rFonts w:ascii="Calibri" w:hAnsi="Calibri"/>
          <w:b/>
          <w:color w:val="1A2010"/>
          <w:sz w:val="40"/>
        </w:rPr>
        <w:t xml:space="preserve">  Edgewise Therapeutics, Inc.</w:t>
      </w:r>
    </w:p>
    <w:p>
      <w:pPr>
        <w:spacing w:after="120"/>
      </w:pPr>
      <w:r>
        <w:rPr>
          <w:rFonts w:ascii="Calibri" w:hAnsi="Calibri"/>
          <w:b/>
          <w:color w:val="6E8450"/>
          <w:sz w:val="18"/>
        </w:rPr>
        <w:t>GROWTH SLEEVE · 2026-08-07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Edgewise Therapeutics is a clinical-stage biopharmaceutical company founded in 2017 and headquartered in Boulder, Colorado, historically focused on precision medicines for genetically defined muscle disorders. In Q2 2026 the company sold sevasemten and its entire muscular dystrophy business to Servier for $1.55B upfront plus up to $1.1B in milestones, and is now singularly focused on its cardiovascular pipeline — EDG-7500 for hypertrophic cardiomyopathy (HCM) and EDG-15400 for heart failure with preserved ejection fraction (HFpEF).</w:t>
      </w:r>
    </w:p>
    <w:p>
      <w:r>
        <w:rPr>
          <w:rFonts w:ascii="Calibri" w:hAnsi="Calibri"/>
          <w:b/>
          <w:color w:val="6E8450"/>
          <w:sz w:val="18"/>
        </w:rPr>
        <w:t>154 Employees · https://edgewisetx.com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$1.55B upfront sale of sevasemten and the entire muscular dystrophy franchise to Servier, closed Q2 2026, is a significant strategic pivot that converted a clinical-stage pipeline asset into a $2.01B pro forma cash balance and refocused the company entirely on cardiovascular disease [1]. AI Deployment (0/2): No evidence of AI-driven drug discovery or AI-enabled R&amp;D tools cited in company disclosures. Market Share (0/2): Pre-commercial company with no approved products and no market share to speak of. Product Pipeline (2/2): EDG-7500 posted positive Phase 2 CIRRUS-HCM data with Phase 3 initiation guided for Q4 2026, and EDG-15400 completed Phase 1 with Phase 2 launch expected H2 2026 — both with specific, near-term dated milestones [1]. R&amp;D Intensity (1/1): Q2 2026 R&amp;D spend of $47.5M (up from $33.6M YoY) against a company with no revenue represents R&amp;D intensity far above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Edgewise brands itself "A Movement in Muscle," committed to developing medicines for people facing serious cardiovascular diseases with unmet needs [4] — a clear, patient-focused statement but one that reads as fairly standard biotech language rather than a distinctively differentiated purpose. Community Impact (0/2): No evidence found of charitable giving, foundation activity, or community investment programs. Employee Retention (0/2): No tenure or turnover data is publicly available for the 154-person organization. Insider Buying (0/2): No evidence of net insider buying was identified in the research window; insider activity data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 EWTX is pre-revenue, so Revenue Growth YoY/5yr CAGR, Forward P/E, Forward PEG, and Profit Margin are all null and excluded from the calculation. Debt-to-Equity is negligible at 0.8% ($3.59M debt vs. $448.08M equity), scoring a capped 1.0 (1x weight) [3]. Return on Equity is deeply negative at roughly -44% (TTM net loss of $197.22M against $448.08M equity), scoring 0.0 at its 2x weight for growth stocks [3]. Weighted sum = (1x1.0)+(2x0.0) = 1.0 of a possible 3.0 → Infrastructure = 1.0/3.0*10 = 3. The company's redeeming quality — a fortress $2.01B pro forma cash position post-Servier deal with virtually no debt — is not directly captured by these profitability-oriented metrics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Edgewise shows genuine existential flexibility — walking away from the muscular dystrophy business that was its founding identity in order to concentrate capital and management attention on cardiovascular disease — but the company is too young and too thinly documented on culture and competitive philosophy to earn top marks across the board. The Servier transaction reads as a disciplined, cause-aligned capital allocation decision rather than desperation, which is the strongest infinite-game signal in the file.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Edgewise's purpose — developing precision medicines for serious diseases with unmet needs, now sharpened to cardiovascular muscle disease — is genuine and traceable through its pipeline choices (EDG-7500, EDG-15400), but the company is only nine years old and its cause has not yet been tested across a full market cycle or leadership transition [1][4].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red flags — no reported layoffs or leadership churn — but no positive evidence of exceptional psychological safety, tenure, or employee empowerment was found for the 154-person organization either, placing it at industry-average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from management was found in the research window — Edgewise's public communications focus entirely on its own clinical data and strategic focus rather than framing progress relative to rivals, so no credit can be given either way.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Selling sevasemten and the entire muscular dystrophy franchise — the business the company was originally built around — to Servier for $1.55B upfront plus $1.1B in milestones, in order to concentrate entirely on the cardiovascular pipeline, is a textbook transformative pivot driven by strategic clarity rather than desperation; it was executed from a position of strength with a resulting $2.01B pro forma cash balance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company's namesake muscle-disease franchise — walking away from a business line with real clinical progress — to sharpen focus on cardiovascular disease is a costly, non-obvious decision that required conviction in the narrower cardiovascular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Edgewise enters H2 2026 fundamentally transformed: the $1.55B upfront (plus up to $1.1B in milestones) sale of sevasemten and the muscular dystrophy business to Servier delivered a pro forma cash balance of roughly $2.01B, giving the company multi-year runway to advance a purely cardiovascular pipeline without near-term financing risk [1]. EDG-7500 posted positive Phase 2 CIRRUS-HCM data with Phase 3 initiation targeted for Q4 2026, and EDG-15400 for HFpEF is set to enter Phase 2 in H2 2026 — both are near-term, dated catalysts in indications (HCM, HFpEF) with large unmet need and strong historical precedent for biotech re-ratings on positive Phase 3 data [1]. The balance sheet is essentially debt-free (D/E of 0.8%), and the stock's average daily dollar volume of roughly $64M provides ample liquidity for a mid-cap position.</w:t>
      </w:r>
    </w:p>
    <w:p>
      <w:pPr>
        <w:spacing w:after="120"/>
      </w:pPr>
      <w:r>
        <w:rPr>
          <w:rFonts w:ascii="Calibri" w:hAnsi="Calibri"/>
          <w:b w:val="0"/>
          <w:color w:val="3A4A28"/>
          <w:sz w:val="20"/>
        </w:rPr>
        <w:t>The bear case is straightforward: EWTX is pre-revenue with a widening net loss ($57.3M in Q2 2026 vs. $36.1M a year earlier) and its entire value now rests on two unapproved cardiovascular assets clearing Phase 3 and FDA review — a binary, multi-year bet with no diversification cushion following the sevasemten divestiture [1]. There is no meaningful moat evidence (Innovation score held down by zero market share and no AI-augmented discovery platform), no public data on employee retention or insider conviction to support the Inspiration score, and Infrastructure is mechanically weak because ROE and margin metrics are structurally negative for a clinical-stage company — the mechanical framework does not fully credit the strong cash position. Any Phase 3 delay, safety signal, or FDA setback on EDG-7500 would remove the primary catalyst underpinning the current $4.78B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EDG-7500 Phase 3 initiation for hypertrophic cardiomyopathy targeted for Q4 2026, building on positive Phase 2 CIRRUS-HCM data</w:t>
      </w:r>
    </w:p>
    <w:p>
      <w:pPr>
        <w:spacing w:before="40" w:after="40"/>
        <w:ind w:left="283"/>
      </w:pPr>
      <w:r>
        <w:rPr>
          <w:rFonts w:ascii="Calibri" w:hAnsi="Calibri"/>
          <w:b/>
          <w:color w:val="4A6B25"/>
          <w:sz w:val="20"/>
        </w:rPr>
        <w:t xml:space="preserve">2. </w:t>
      </w:r>
      <w:r>
        <w:rPr>
          <w:rFonts w:ascii="Calibri" w:hAnsi="Calibri"/>
          <w:b w:val="0"/>
          <w:color w:val="3A4A28"/>
          <w:sz w:val="20"/>
        </w:rPr>
        <w:t>EDG-15400 Phase 2 launch for HFpEF expected in H2 2026, expanding the cardiovascular pipeline into a second large indication</w:t>
      </w:r>
    </w:p>
    <w:p>
      <w:pPr>
        <w:spacing w:before="40" w:after="40"/>
        <w:ind w:left="283"/>
      </w:pPr>
      <w:r>
        <w:rPr>
          <w:rFonts w:ascii="Calibri" w:hAnsi="Calibri"/>
          <w:b/>
          <w:color w:val="4A6B25"/>
          <w:sz w:val="20"/>
        </w:rPr>
        <w:t xml:space="preserve">3. </w:t>
      </w:r>
      <w:r>
        <w:rPr>
          <w:rFonts w:ascii="Calibri" w:hAnsi="Calibri"/>
          <w:b w:val="0"/>
          <w:color w:val="3A4A28"/>
          <w:sz w:val="20"/>
        </w:rPr>
        <w:t>Deployment of the ~$2.01B pro forma cash balance from the Servier transaction into accelerated cardiovascular development or potential pipeline in-licensing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clinical/regulatory risk concentrated in two unapproved cardiovascular assets following the divestiture of the muscular dystrophy franchise, with no approved products or revenue to fall back on</w:t>
      </w:r>
    </w:p>
    <w:p>
      <w:pPr>
        <w:spacing w:before="40" w:after="40"/>
        <w:ind w:left="283"/>
      </w:pPr>
      <w:r>
        <w:rPr>
          <w:rFonts w:ascii="Calibri" w:hAnsi="Calibri"/>
          <w:b/>
          <w:color w:val="4A6B25"/>
          <w:sz w:val="20"/>
        </w:rPr>
        <w:t xml:space="preserve">2. </w:t>
      </w:r>
      <w:r>
        <w:rPr>
          <w:rFonts w:ascii="Calibri" w:hAnsi="Calibri"/>
          <w:b w:val="0"/>
          <w:color w:val="3A4A28"/>
          <w:sz w:val="20"/>
        </w:rPr>
        <w:t>Widening net losses ($197.22M TTM) mean sustained cash burn even against a strong balance sheet, and any pipeline setback could force dilutive financing well before the cash runway is exhausted</w:t>
      </w:r>
    </w:p>
    <w:p>
      <w:pPr>
        <w:spacing w:before="40" w:after="40"/>
        <w:ind w:left="283"/>
      </w:pPr>
      <w:r>
        <w:rPr>
          <w:rFonts w:ascii="Calibri" w:hAnsi="Calibri"/>
          <w:b/>
          <w:color w:val="4A6B25"/>
          <w:sz w:val="20"/>
        </w:rPr>
        <w:t xml:space="preserve">3. </w:t>
      </w:r>
      <w:r>
        <w:rPr>
          <w:rFonts w:ascii="Calibri" w:hAnsi="Calibri"/>
          <w:b w:val="0"/>
          <w:color w:val="3A4A28"/>
          <w:sz w:val="20"/>
        </w:rPr>
        <w:t>No evidence of AI-augmented discovery capability relative to larger biotech/pharma competitors that could compress the company's time-to-market advantage in cardiovascular drug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Edgewise's core business — clinical trial execution, FDA regulatory approval, and eventual manufacturing of small-molecule cardiovascular therapies — is structurally protected from AI substitution; no analyst commentary was found suggesting AI threatens the company's clinical or regulatory path [1][2]. The main indirect risk is competitive: AI-augmented drug discovery platforms at larger rivals could compress time-to-market advantages industry-wide, but this is a sector-level dynamic rather than an EWTX-specific vulnerability. AI Opportunity (0/1): No evidence that Edgewise uses AI in its discovery or development process or generates any AI-attributable value; searches turned up no company disclosures referencing AI tools or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Edgewise Therapeutics Reports Second Quarter 2026 Financial Results —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Edgewise Therapeutics Reports First Quarter 2026 Financial Results — PR Newswire,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EWTX Key Statistics, Financials, Balance Sheet, and Company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Edgewise Therapeutics Leadership Team — edgewisetx.com,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News — EWTX Stock Analysis and Risk Profile Coverage,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