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FCBM</w:t>
      </w:r>
      <w:r>
        <w:rPr>
          <w:rFonts w:ascii="Calibri" w:hAnsi="Calibri"/>
          <w:b/>
          <w:color w:val="1A2010"/>
          <w:sz w:val="40"/>
        </w:rPr>
        <w:t xml:space="preserve">  First Carolina Financial Services, Inc.</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First Carolina Financial Services is the Raleigh, North Carolina-based holding company for First Carolina Bank, a community bank and payments platform operating nine branches across North Carolina, Virginia, South Carolina, and Georgia, serving small and mid-sized businesses, higher education institutions, and individuals [1]. The company completed its IPO on the NYSE on June 18, 2026, raising approximately $69.6M in new equity, and reported Q2 2026 net income of $5.1M ($0.20 diluted EPS), up 11% YoY, with total assets of $3.4B as of Q1 2026 [1]. It holds top deposit market share in its Rocky Mount, NC headquarters market and does not currently pay a dividend [1].</w:t>
      </w:r>
    </w:p>
    <w:p>
      <w:r>
        <w:rPr>
          <w:rFonts w:ascii="Calibri" w:hAnsi="Calibri"/>
          <w:b/>
          <w:color w:val="6E8450"/>
          <w:sz w:val="18"/>
        </w:rPr>
        <w:t>350 Employees · https://www.firstcarolinabank.com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company's most significant recent milestone is its June 2026 NYSE IPO, which raised $69.6M and marked a transition from private to public company status, alongside continued build-out of its payments platform business — a modest corporate development rather than a product or business-model transformation [1]. AI Deployment (0/2): No evidence of AI product deployment or quantified AI-driven efficiency gains was found. Market Share (1/2): First Carolina holds the top deposit market share in its Rocky Mount, NC headquarters community, a meaningful but narrowly regional leadership position rather than category-defining scale [1]. Product Pipeline (0/2): The company describes general geographic expansion across four states and payments platform growth, but no specific next-generation products with named launch dates were identified. R&amp;D Intensity (0/1): As a community bank, First Carolina does not report R&amp;D spending, and no data indicates above-average technology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Carolina's positioning — 'we do the day-to-day things in banking extremely well' with a 'service-first focus... rather than 1-800 help line' — clearly describes a relationship-banking approach but is largely interchangeable with the marketing of many community banks and does not articulate a deeper purpose [2]. Community Impact (0/2): The company references building 'extensive community relationships' through local hiring, but no specific charitable programs, foundation, or dollar amounts were identified. Employee Retention (0/2): No turnover or tenure data is publicly available. Insider Buying (0/2): No insider buying data was found; as a company that only completed its IPO in June 2026, standard post-IPO lock-up restrictions likely limit near-term insider trading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was strong at 34.76% in FY2025 (scoring a full 1.0 against the 10% target), Forward P/E of 12.23x scores 1.0 against the 20x target, and profit margin of 10.80% scores 0.54 against the 20% target [3]. Return on equity, estimated at ~6.2% (annualized H1 2026 net income of ~$22.0M against $353.4M shareholders' equity as of Q1 2026), scores 0.41 against the 15% target — modest for a bank, reflecting equity dilution from the recent $69.6M IPO raise [1][3]. Debt-to-equity and PEG could not be reliably calculated for this recently-public bank and were excluded. Average daily volume of ~93,131 shares against a $12.68 share price (~$1.18M) clears the $1M liquidity floor, but only narrowly — this is a thinly traded, recently-IPO'd small-cap stock, and liquidity should be monitored closely as float expands post-lockup.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First Carolina is a well-run, growing community bank with a genuine relationship-banking value proposition, but its public messaging centers on operational execution ('doing the day-to-day things extremely well') rather than an idealistic cause, and as a company only six weeks removed from its NYSE IPO, there is not yet a track record of tested leadership continuity, courageous long-term decisions, or crisis resilience to evaluate.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bank's stated focus on personal, local relationship banking versus '1-800 help line' impersonal service is a genuine differentiator in community banking, but it reads as an operational commitment rather than an idealistic cause bigger than the company, and is broadly similar to positioning used by many community banks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emphasizes 'hiring highly capable, experienced, and personable personnel' to build community relationships, suggesting an intentional culture-building approach, but no turnover, tenure, or employee sentiment data is available to confirm this beyond stated intent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competing banks as worthy rivals whose strengths inform First Carolina's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expanded beyond traditional community banking into a payments platform business and grown geographically across four states, and completed a transition from private to public company via its June 2026 IPO — real evolution, though incremental rather than a transformative reinvention of the core business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specific evidence was found of leadership making costly long-term decisions that sacrificed near-term results for long-term capability; the available record centers on steady growth and a successful IPO rather than tested courage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Carolina Financial Services is a growing Southeast regional bank and payments platform that just completed a well-received NYSE IPO, raising $69.6M and reporting Q2 2026 net income of $5.1M (+11% YoY) on top of 34.76% revenue growth in FY2025 [1][3]. The bank holds top deposit market share in its Rocky Mount, NC home market and has expanded to nine branches across four states, with a relationship-banking model — serving small/mid-sized businesses and higher-education institutions — that carries meaningful defensive moats against both larger bank competition and AI-driven disintermediation [1]. A Forward P/E of 12.23x is reasonable for a profitably growing community bank with a clean, low-leverage post-IPO balance sheet ($118.82M cash, $353.4M equity) [1][3].</w:t>
      </w:r>
    </w:p>
    <w:p>
      <w:pPr>
        <w:spacing w:after="120"/>
      </w:pPr>
      <w:r>
        <w:rPr>
          <w:rFonts w:ascii="Calibri" w:hAnsi="Calibri"/>
          <w:b w:val="0"/>
          <w:color w:val="3A4A28"/>
          <w:sz w:val="20"/>
        </w:rPr>
        <w:t>The bear case centers on newly-public-company risk and thin trading liquidity. Average daily volume of only ~93,131 shares against a $12.68 price (~$1.18M) sits just above the $1M liquidity floor, meaning the stock could see outsized price swings on modest trading volume and may face further float dilution as IPO lock-up restrictions expire [3]. Return on equity of roughly 6.2% is modest for a bank and reflects the diluting effect of the fresh $69.6M equity raise not yet being fully deployed into earning assets [1]. The company has no dividend, no multi-year public trading history to evaluate through a full credit cycle, and its 'do the day-to-day things well' positioning, while credible, does not yet demonstrate the differentiated moat or tested leadership resilience that would support a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deployment of the $69.6M IPO capital raise into earning loan assets could meaningfully lift return on equity toward the 15% target over the next several quarters [1][3]</w:t>
      </w:r>
    </w:p>
    <w:p>
      <w:pPr>
        <w:spacing w:before="40" w:after="40"/>
        <w:ind w:left="283"/>
      </w:pPr>
      <w:r>
        <w:rPr>
          <w:rFonts w:ascii="Calibri" w:hAnsi="Calibri"/>
          <w:b/>
          <w:color w:val="4A6B25"/>
          <w:sz w:val="20"/>
        </w:rPr>
        <w:t xml:space="preserve">2. </w:t>
      </w:r>
      <w:r>
        <w:rPr>
          <w:rFonts w:ascii="Calibri" w:hAnsi="Calibri"/>
          <w:b w:val="0"/>
          <w:color w:val="3A4A28"/>
          <w:sz w:val="20"/>
        </w:rPr>
        <w:t>Continued payments platform growth and geographic expansion across the Carolinas, Virginia, and Georgia could accelerate fee income diversification beyond traditional net interest income [1]</w:t>
      </w:r>
    </w:p>
    <w:p>
      <w:pPr>
        <w:spacing w:before="40" w:after="40"/>
        <w:ind w:left="283"/>
      </w:pPr>
      <w:r>
        <w:rPr>
          <w:rFonts w:ascii="Calibri" w:hAnsi="Calibri"/>
          <w:b/>
          <w:color w:val="4A6B25"/>
          <w:sz w:val="20"/>
        </w:rPr>
        <w:t xml:space="preserve">3. </w:t>
      </w:r>
      <w:r>
        <w:rPr>
          <w:rFonts w:ascii="Calibri" w:hAnsi="Calibri"/>
          <w:b w:val="0"/>
          <w:color w:val="3A4A28"/>
          <w:sz w:val="20"/>
        </w:rPr>
        <w:t>Initiation of analyst coverage and index inclusion following the recent IPO could improve trading liquidity and price discovery for the still-thinly-traded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only ~$1.18M sits just above the IOWN liquidity floor, creating elevated volatility risk and potential difficulty establishing or exiting meaningful positions [3]</w:t>
      </w:r>
    </w:p>
    <w:p>
      <w:pPr>
        <w:spacing w:before="40" w:after="40"/>
        <w:ind w:left="283"/>
      </w:pPr>
      <w:r>
        <w:rPr>
          <w:rFonts w:ascii="Calibri" w:hAnsi="Calibri"/>
          <w:b/>
          <w:color w:val="4A6B25"/>
          <w:sz w:val="20"/>
        </w:rPr>
        <w:t xml:space="preserve">2. </w:t>
      </w:r>
      <w:r>
        <w:rPr>
          <w:rFonts w:ascii="Calibri" w:hAnsi="Calibri"/>
          <w:b w:val="0"/>
          <w:color w:val="3A4A28"/>
          <w:sz w:val="20"/>
        </w:rPr>
        <w:t>As a company with only weeks of public trading history, there is no track record of how the bank and its leadership perform through a credit cycle, recession, or competitive stress event</w:t>
      </w:r>
    </w:p>
    <w:p>
      <w:pPr>
        <w:spacing w:before="40" w:after="40"/>
        <w:ind w:left="283"/>
      </w:pPr>
      <w:r>
        <w:rPr>
          <w:rFonts w:ascii="Calibri" w:hAnsi="Calibri"/>
          <w:b/>
          <w:color w:val="4A6B25"/>
          <w:sz w:val="20"/>
        </w:rPr>
        <w:t xml:space="preserve">3. </w:t>
      </w:r>
      <w:r>
        <w:rPr>
          <w:rFonts w:ascii="Calibri" w:hAnsi="Calibri"/>
          <w:b w:val="0"/>
          <w:color w:val="3A4A28"/>
          <w:sz w:val="20"/>
        </w:rPr>
        <w:t>Modest ~6.2% return on equity leaves limited margin for error if loan growth slows or credit costs rise in its small/mid-sized business and higher-education lending niches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and commercial banking for small/mid-sized businesses and higher-education institutions relies on relationship-based underwriting, regulatory licensing, and local trust that AI cannot fully replicate, providing meaningful defensive moats [1]. However, no company-specific analyst commentary was found assessing AI's impact on First Carolina, and broader industry trends show AI increasingly automating loan origination and underwriting workflows at larger banks, which could pressure smaller banks' cost structures over time. AI Opportunity (0/1): No evidence of quantifiable AI-related revenue or AI-driven product features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Carolina Financial Services Q2 2026 Earnings Release — Net Income $5.1M (+11% YoY), IPO Details, Total Assets $3.4B — Yahoo Finance, StockTitan, June-August 2026</w:t>
      </w:r>
    </w:p>
    <w:p>
      <w:pPr>
        <w:spacing w:before="20" w:after="20"/>
        <w:ind w:left="170"/>
      </w:pPr>
      <w:r>
        <w:rPr>
          <w:rFonts w:ascii="Calibri" w:hAnsi="Calibri"/>
          <w:b/>
          <w:color w:val="4A6B25"/>
          <w:sz w:val="15"/>
        </w:rPr>
        <w:t xml:space="preserve">2. </w:t>
      </w:r>
      <w:r>
        <w:rPr>
          <w:rFonts w:ascii="Calibri" w:hAnsi="Calibri"/>
          <w:b w:val="0"/>
          <w:color w:val="3A4A28"/>
          <w:sz w:val="17"/>
        </w:rPr>
        <w:t>First Carolina Bank — Company Website, Mission and Community Positioning, firstcarolinabank.com,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FCBM Key Statistics: Market Cap $393.95M, P/E 22.42, Forward P/E 12.23, Profit Margin 10.80%, Avg Daily Volume 93,131,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