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FFBC</w:t>
      </w:r>
      <w:r>
        <w:rPr>
          <w:rFonts w:ascii="Calibri" w:hAnsi="Calibri"/>
          <w:b/>
          <w:color w:val="1A2010"/>
          <w:sz w:val="40"/>
        </w:rPr>
        <w:t xml:space="preserve">  First Financial Bancorp.</w:t>
      </w:r>
    </w:p>
    <w:p>
      <w:pPr>
        <w:spacing w:after="120"/>
      </w:pPr>
      <w:r>
        <w:rPr>
          <w:rFonts w:ascii="Calibri" w:hAnsi="Calibri"/>
          <w:b/>
          <w:color w:val="6E8450"/>
          <w:sz w:val="18"/>
        </w:rPr>
        <w:t>DIVIDEND SLEEVE · 2026-08-10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Regional Banking · NASDAQ · United States</w:t>
      </w:r>
    </w:p>
    <w:p>
      <w:pPr>
        <w:spacing w:after="80"/>
      </w:pPr>
      <w:r>
        <w:rPr>
          <w:rFonts w:ascii="Calibri" w:hAnsi="Calibri"/>
          <w:b w:val="0"/>
          <w:color w:val="3A4A28"/>
          <w:sz w:val="20"/>
        </w:rPr>
        <w:t>First Financial Bancorp is a Cincinnati, Ohio-based regional bank holding company operating through its subsidiary First Financial Bank. The company provides commercial and consumer banking, wealth management, and specialty lending services across Ohio, Indiana, Kentucky, and Illinois. Recent acquisitions include BankFinancial Corporation (17 Chicago-area branches, completed 2025) and Finward Bancorp (Northwest Indiana/Chicago expansion, announced 2026). Specialty divisions include Summit and Agile lending platforms for C&amp;I and specialty commercial finance.</w:t>
      </w:r>
    </w:p>
    <w:p>
      <w:r>
        <w:rPr>
          <w:rFonts w:ascii="Calibri" w:hAnsi="Calibri"/>
          <w:b/>
          <w:color w:val="6E8450"/>
          <w:sz w:val="18"/>
        </w:rPr>
        <w:t>2,371 Employees · https://www.bankatfirst.com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First Financial has executed a disciplined acquisition-driven growth strategy, adding BankFinancial's 17 Chicago-area branches and announcing the Finward Bancorp acquisition to expand its Northwest Indiana/Chicago footprint, extending from its Ohio/Kentucky core into a major metropolitan market [1]. Summit and Agile specialty lending platforms represent meaningful product extensions within commercial banking. However, these are incremental geographic and product extensions of a traditional banking model, not transformative innovations. AI Deployment (0/2): CIO Donnie Slavens has described efforts to 'drive proof of concepts' with AI vendors and evaluate AI alignment with strategic goals, but no AI-powered products are shipping to customers and no quantified AI-driven cost savings have been reported [3]. The bank remains in the exploration phase of AI adoption. Market Share (1/2): FFBC holds a meaningful position in its Ohio/Indiana/Kentucky footprint with $3.5B market cap and growing presence in the Chicago market through acquisitions [1][5]. Loan originations increased 23% over Q1, and annualized loan growth of 7% demonstrates organic share gains. However, the bank is not a category leader in any major metro market. Product Pipeline (1/2): The Finward Bancorp acquisition provides clear near-term growth with expected 5% EPS accretion and full cost savings realization by Q3 2027 [1]. Branch expansion strategy is articulated with specific targets. R&amp;D Intensity (0/1): Banks do not typically report R&amp;D spending. Technology investments are embedded in SG&amp;A but not quantified separately.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First Financial's stated purpose centers on building 'meaningful and genuine relationships with customers, businesses, and communities,' with leadership emphasizing that 'an organization is only as strong as the people behind it' [4]. The mission is clear and connects banking to community service, but it is interchangeable with virtually any community bank — it does not articulate a distinctive or transformative vision. Community Impact (1/2): First Financial publishes annual corporate social responsibility reports and engages in community banking activities including local lending, branch-based community engagement, and community reinvestment [4]. However, no specific charitable foundation dollar amounts, distinctive community investment programs, or measurable impact data was identified beyond standard CRA compliance and general community banking activities. Employee Retention (0/2): With 2,371 employees and CEO Archie Brown providing 8 years of leadership stability, the organization appears stable [2]. However, no specific voluntary turnover rates, average tenure data, or employee sentiment metrics beyond generic website statements were identified. Insider Buying (0/2): No evidence of meaningful net insider buying by CEO Brown or other executives in the last 12 months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record adjusted net income of $83.9M ($0.80 per share, +8% YoY) with net interest margin stable near 3.98% and net interest income rising 23.5% year-to-date [1]. D/E of 31% reflects conservative bank leverage well below the 70% target. Forward P/E of 10.23x is attractively below the 20x target. Profit margin of 30.4% exceeds the 20% target. Revenue TTM of $953M grew 21.9% YoY, driven by NII expansion and acquisition contributions, scoring at target [5]. ROE of 10.24% falls short of the 15% target but remains healthy for a community bank, scoring at 0.68. Dividend payout ratio of 39.7% is at the 40% target. Consecutive years paid since 1994 (~32 years) scores at maximum. Consecutive years of growth estimated at 5 years post-COVID scores at 0.50. Five-year dividend growth CAGR of 1.68% scores at 0.28 against the 6% target [6]. Liquidity check: 495,781 avg daily volume x $33.66 = $16.7M, passes easily.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First Financial Bancorp operates with a moderately infinite mindset characteristic of well-managed community banks. CEO Archie Brown's 8-year tenure and consistent community banking strategy provide purposeful continuity, and the acquisition-driven expansion into Chicago demonstrates strategic patience and long-term market building. However, the company's competitive language focuses on financial metrics (record net income, EPS accretion) rather than enduring purpose, and no evidence of courageous long-term bets or transformative flexibility was identified.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First Financial's community banking mission — building genuine relationships with customers, businesses, and communities across its Ohio/Indiana/Kentucky/Illinois footprint — represents a genuine purpose that has been consistently pursued through multiple economic cycles [4]. CEO Brown's 8-year tenure has maintained this strategic direction, and the acquisition strategy (BankFinancial, Finward) serves the mission by extending community banking into underserved markets. However, the mission has not been validated through a transformative crisis response, and 'relationship-based community banking' does not rise to the level of a Just Cause that inspires sacrifice or defines a future state that doesn't yet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Brown's 8-year tenure provides leadership stability, and the 2,371-employee organization appears operationally stable with no reports of mass layoffs, cultural dysfunction, or leadership turnover [2]. The bank's community banking model inherently relies on empowered local branch teams making relationship-based decisions. However, no specific evidence of exceptional trust, psychological safety, or cultural distinctiveness was found — no employee testimonials, retention statistics, or cultural programs that set FFBC apart from typical community banks.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in management commentary. CEO Brown's Q2 2026 remarks focused on record financial results, EPS accretion from acquisitions, and capital allocation targets — the language of financial optimization rather than competitive learning [1]. No references to worthy rivals, learning from competitors' strengths, or using competitive pressure for self-improvement were found.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First Financial has meaningfully evolved its geographic and product footprint over time, expanding from an Ohio-centric community bank into a multi-state franchise spanning Ohio, Indiana, Kentucky, and Illinois through strategic acquisitions [1]. The development of specialty lending platforms (Summit, Agile) and wealth management capabilities represents adaptation to evolving banking markets. However, the company has not undergone a transformative reinvention — it remains fundamentally a community bank executing incremental geographic and product expansion within its established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strategic commitment to Chicago-market expansion through the BankFinancial and Finward acquisitions represents meaningful long-term investment, with Finward expected to deliver 5% EPS accretion and full cost savings by Q3 2027 [1]. Maintaining capital allocation discipline (35-40% payout ratio divided equally among dividends, organic growth, and buybacks) during a period of record profitability shows strategic patience over short-term gratification. However, these are conventional banking decisions, not the kind of principled sacrifice or bold contrarian bets that Sinek associates with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Financial Bancorp delivered record Q2 2026 adjusted net income of $83.9M ($0.80 EPS, +8% YoY) with a stable 3.98% net interest margin, 7% annualized loan growth, and improving credit quality (net charge-offs declined 15bps to 0.20%) [1]. At 10.2x forward earnings with a 3.1% dividend yield and 39.7% payout ratio, FFBC trades at a modest discount to regional bank peers (13.2x median). The Chicago-market expansion through BankFinancial (completed) and Finward (announced, 5% EPS accretive) provides a multi-year growth runway in the nation's third-largest metro area [1]. Revenue growth of 21.9% YoY reflects both organic NII expansion and acquisition contributions, and the conservative 31% D/E ratio provides capacity for additional strategic investments.</w:t>
      </w:r>
    </w:p>
    <w:p>
      <w:pPr>
        <w:spacing w:after="120"/>
      </w:pPr>
      <w:r>
        <w:rPr>
          <w:rFonts w:ascii="Calibri" w:hAnsi="Calibri"/>
          <w:b w:val="0"/>
          <w:color w:val="3A4A28"/>
          <w:sz w:val="20"/>
        </w:rPr>
        <w:t>The primary risk is that FFBC remains a traditional community bank in a sector facing secular headwinds from fintech competition, interest rate sensitivity, and potential credit cycle deterioration. Revenue growth of 21.9% is substantially driven by acquisition contributions rather than organic expansion, and the Finward integration timeline extending to Q3 2027 creates execution risk [1]. The 3.1% dividend yield is adequate but the 1.68% five-year dividend growth CAGR lags inflation, making FFBC a weak choice for dividend growth investors compared to peers with 5-8% dividend CAGR. ROE of 10.2% is respectable but below the 15% target and below top-quartile community banks, suggesting limited ability to compound shareholder value at above-average rates. Non-interest income declined versus the linked quarter due to weakness in foreign exchange, swap, and investment banking revenue, highlighting fee income volatility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Finward Bancorp acquisition closing and integration delivering the targeted 5% EPS accretion and full cost savings realization by Q3 2027, extending FFBC's Chicago-market franchise</w:t>
      </w:r>
    </w:p>
    <w:p>
      <w:pPr>
        <w:spacing w:before="40" w:after="40"/>
        <w:ind w:left="283"/>
      </w:pPr>
      <w:r>
        <w:rPr>
          <w:rFonts w:ascii="Calibri" w:hAnsi="Calibri"/>
          <w:b/>
          <w:color w:val="4A6B25"/>
          <w:sz w:val="20"/>
        </w:rPr>
        <w:t xml:space="preserve">2. </w:t>
      </w:r>
      <w:r>
        <w:rPr>
          <w:rFonts w:ascii="Calibri" w:hAnsi="Calibri"/>
          <w:b w:val="0"/>
          <w:color w:val="3A4A28"/>
          <w:sz w:val="20"/>
        </w:rPr>
        <w:t>Net interest margin expansion if the Federal Reserve lowers rates, benefiting FFBC's asset-sensitive balance sheet and potentially driving NII above the record Q2 levels</w:t>
      </w:r>
    </w:p>
    <w:p>
      <w:pPr>
        <w:spacing w:before="40" w:after="40"/>
        <w:ind w:left="283"/>
      </w:pPr>
      <w:r>
        <w:rPr>
          <w:rFonts w:ascii="Calibri" w:hAnsi="Calibri"/>
          <w:b/>
          <w:color w:val="4A6B25"/>
          <w:sz w:val="20"/>
        </w:rPr>
        <w:t xml:space="preserve">3. </w:t>
      </w:r>
      <w:r>
        <w:rPr>
          <w:rFonts w:ascii="Calibri" w:hAnsi="Calibri"/>
          <w:b w:val="0"/>
          <w:color w:val="3A4A28"/>
          <w:sz w:val="20"/>
        </w:rPr>
        <w:t>Continued loan origination momentum (23% QoQ growth in Q2) and specialty lending platform expansion through Summit and Agile driving organic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cycle deterioration in commercial real estate or C&amp;I portfolios could compress the currently low 0.20% net charge-off ratio, with particular exposure to Ohio/Indiana/Illinois economies that are sensitive to manufacturing and industrial activity</w:t>
      </w:r>
    </w:p>
    <w:p>
      <w:pPr>
        <w:spacing w:before="40" w:after="40"/>
        <w:ind w:left="283"/>
      </w:pPr>
      <w:r>
        <w:rPr>
          <w:rFonts w:ascii="Calibri" w:hAnsi="Calibri"/>
          <w:b/>
          <w:color w:val="4A6B25"/>
          <w:sz w:val="20"/>
        </w:rPr>
        <w:t xml:space="preserve">2. </w:t>
      </w:r>
      <w:r>
        <w:rPr>
          <w:rFonts w:ascii="Calibri" w:hAnsi="Calibri"/>
          <w:b w:val="0"/>
          <w:color w:val="3A4A28"/>
          <w:sz w:val="20"/>
        </w:rPr>
        <w:t>Five-year dividend growth CAGR of 1.68% significantly trails inflation, reducing real income for dividend investors and potentially signaling limited management conviction in long-term earnings growth capacity</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risk from simultaneously absorbing BankFinancial (2025) and Finward Bancorp (2026-2027) could strain management bandwidth and delay synergy realization in a competitive regional banking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First Financial's community banking model is structurally protected from AI disruption across multiple dimensions. Core banking requires FDIC-insured deposit-taking, regulatory compliance (OCC, FDIC, state banking regulators), physical branch infrastructure, and relationship-based lending — none of which AI can substitute [1]. Commercial lending to small and mid-sized businesses relies on local market knowledge, personal relationships, and judgment-intensive credit decisions that resist automation. The bank's multi-state branch network, specialty lending platforms (Summit, Agile), and wealth management services create switching costs and relationship depth. However, fintech competitors and AI-powered lending platforms could incrementally erode consumer lending and deposit gathering at the margins, and AI-driven fraud detection and compliance tools may become table stakes rather than differentiators. AI Opportunity (0/1): Despite CIO Slavens' exploration of AI proof of concepts with vendors, no quantifiable AI revenue has been generated [3]. The bank does not sell AI products or services and has not reported specific AI-driven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Financial Bancorp Q2 2026 Earnings Call and Financial Results — Record Adjusted Net Income of $83.9M, July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FFBC Leadership and Management Team Analysis, CEO Archie Brown Profile,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CDO Magazine — First Financial Bank CIO Donnie Slavens on AI Innovation and Technology Strategy, 2025</w:t>
      </w:r>
    </w:p>
    <w:p>
      <w:pPr>
        <w:spacing w:before="20" w:after="20"/>
        <w:ind w:left="170"/>
      </w:pPr>
      <w:r>
        <w:rPr>
          <w:rFonts w:ascii="Calibri" w:hAnsi="Calibri"/>
          <w:b/>
          <w:color w:val="4A6B25"/>
          <w:sz w:val="15"/>
        </w:rPr>
        <w:t xml:space="preserve">4. </w:t>
      </w:r>
      <w:r>
        <w:rPr>
          <w:rFonts w:ascii="Calibri" w:hAnsi="Calibri"/>
          <w:b w:val="0"/>
          <w:color w:val="3A4A28"/>
          <w:sz w:val="17"/>
        </w:rPr>
        <w:t>First Financial Bank Corporate Website — Corporate Social Responsibility and Mission Statement,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FFBC Key Statistics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FullRatio / MacroTrends — FFBC Dividend History, Payout Ratio, and Growth Rate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