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FNB</w:t>
      </w:r>
      <w:r>
        <w:rPr>
          <w:rFonts w:ascii="Calibri" w:hAnsi="Calibri"/>
          <w:b/>
          <w:color w:val="1A2010"/>
          <w:sz w:val="40"/>
        </w:rPr>
        <w:t xml:space="preserve">  F.N.B. Corporation</w:t>
      </w:r>
    </w:p>
    <w:p>
      <w:pPr>
        <w:spacing w:after="120"/>
      </w:pPr>
      <w:r>
        <w:rPr>
          <w:rFonts w:ascii="Calibri" w:hAnsi="Calibri"/>
          <w:b/>
          <w:color w:val="6E8450"/>
          <w:sz w:val="18"/>
        </w:rPr>
        <w:t>DIVIDEND SLEEVE · 2026-08-22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Banks - Regional · NYSE · United States</w:t>
      </w:r>
    </w:p>
    <w:p>
      <w:pPr>
        <w:spacing w:after="80"/>
      </w:pPr>
      <w:r>
        <w:rPr>
          <w:rFonts w:ascii="Calibri" w:hAnsi="Calibri"/>
          <w:b w:val="0"/>
          <w:color w:val="3A4A28"/>
          <w:sz w:val="20"/>
        </w:rPr>
        <w:t>F.N.B. Corporation is a diversified financial services company and the parent of First National Bank, a regional bank operating across Pennsylvania, Ohio, Maryland, West Virginia, Virginia, North Carolina, and South Carolina. The company provides commercial banking, consumer banking, wealth management, and insurance services through approximately 350 branches. CEO Vincent J. Delie, Jr. has led the company since 2012, growing it through disciplined acquisitions and organic expansion. Q2 2026 delivered record revenue of $462.7M with EPS of $0.42 (+17% YoY). Market cap is approximately $6.5B.</w:t>
      </w:r>
    </w:p>
    <w:p>
      <w:r>
        <w:rPr>
          <w:rFonts w:ascii="Calibri" w:hAnsi="Calibri"/>
          <w:b/>
          <w:color w:val="6E8450"/>
          <w:sz w:val="18"/>
        </w:rPr>
        <w:t>4,282 Employees · https://www.fnb-online.com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F.N.B. has grown through disciplined acquisitions over the past five years, expanding its geographic footprint from its Pittsburgh base into the Carolinas and mid-Atlantic. The integration of acquired banks has been executed effectively, but this is growth through consolidation rather than transformative product innovation [1]. The company has maintained a consistent community banking model without major business model pivots. AI Deployment (1/2): CEO Delie has been recognized for his commitment to AI innovation, including FNB's award-winning eStore digital banking platform and the appointment of a Director of AI and Innovation to focus on enterprise AI implementation and fintech partnerships [2]. These represent early-stage AI deployment with strategic intent, though no specific AI-driven revenue or cost savings have been quantified publicly. Market Share (1/2): F.N.B. is a meaningful regional bank with ~$47B in total assets, holding significant market share in Pittsburgh and expanding in attractive growth markets like the Carolinas. However, it is not a category leader nationally and competes against much larger regional and money-center banks [1]. Product Pipeline (1/2): The eStore digital platform and planned AI/fintech partnerships represent a forward-looking product strategy for a regional bank, though specific next-gen products with revenue visibility are limited. The $250M share buyback and 8% dividend increase suggest confidence but not product pipeline visibility. R&amp;D Intensity (1/1): FNB invests above the regional banking peer average in technology and digital transformation, reflecting CEO Delie's technology-first leadership philosophy and the Digital Banker 'CEO of the Year' recognition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F.N.B.'s purpose centers on being a trusted community banking partner that supports the financial wellbeing of individuals, families, and businesses in the communities it serves. Under CEO Delie's 14-year tenure, this purpose has been lived out through consistent community engagement, branch expansion into underserved areas, and a 'blue-collar work ethic' that differentiates from large-bank corporate culture [2]. The mission is clear and genuine but not transformative in Sinek's sense — it is what any good community bank would say. Community Impact (2/2): FNB has been recognized as one of only six banks nationally on Coalition Greenwich's Standout Commercial Banks for ESG commitment, reflecting distinctive community investment [3]. The company has earned multiple Top Workplaces Culture Excellence awards from Energage based entirely on employee feedback, and FNB's community banking model inherently drives local economic impact through small business lending and mortgage origination in underserved markets. Employee Retention (1/2): Multiple national Top Workplaces Culture Excellence awards based on employee feedback suggest above-average workplace engagement [2]. CEO Delie's 14-year tenure and the 'blue-collar work ethic' culture create leadership continuity. However, specific retention rates or average tenure data were not identified. Insider Buying (1/2): No evidence of meaningful net insider buying was identified. CEO compensation is equity-heavy, and the $250M buyback authorization signals institutional confidence in the equity 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FNB demonstrates strong financial fundamentals with D/E of approximately 29% (well below the 70% target) and Forward P/E of 10.38x (well below the 20x target) [4]. Profit margin of 34.62% scores perfectly, well above the 20% target — strong for a regional bank reflecting disciplined expense management and favorable net interest margins. Revenue growth YoY of approximately 9% nearly meets the 10% target, driven by record Q2 2026 revenue of $462.7M [1]. 5-year revenue CAGR of approximately 7.7% reflects steady acquisition-driven and organic growth. ROE of 9.04% is the main profitability drag, below the 15% target — typical for well-capitalized regional banks that maintain higher capital ratios. Dividend metrics are mixed: payout ratio of 30.94% is excellent (below 40% target), and 52 consecutive years of dividend payments scores perfectly at 2x weight [1]. However, 5-year dividend growth CAGR of approximately 1.6% is the significant drag with 2x weight — the dividend was held flat at $0.12/quarter for several years before the recent 8% hike to $0.13. Consecutive years of dividend growth at ~5 years scores modestly. Daily dollar volume of ~$66M easily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F.N.B. Corporation demonstrates solid infinite game characteristics for a regional bank, anchored by CEO Vincent Delie's 14-year tenure, a genuine community banking mission, and 52 consecutive years of dividend payments. The 'blue-collar work ethic' culture and Top Workplaces awards suggest organizational health beyond quarterly metrics. However, the growth-through-acquisition strategy, while well-executed, represents financial engineering rather than cause-driven transformation. The $250M buyback and recent dividend hike are positive shareholder signals but finite-game capital allocation choices that prioritize current returns over building future capability.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FNB exists to serve as a trusted community banking partner supporting financial wellbeing in the communities it operates. While this purpose is genuine and has been consistently lived out through 52 years of dividend payments, community branch expansion, and small business lending, it does not constitute a Just Cause in Sinek's definition [2]. The purpose describes what the company does, not an idealistic future state that inspires sacrifice. It is interchangeable with most community banks and does not drive strategic decisions that would surprise a purely profit-motivated observer.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FNB has earned multiple national Top Workplaces Culture Excellence awards from Energage, based entirely on employee feedback — this is meaningful evidence of workplace engagement and organizational trust [2]. CEO Delie's 14-year tenure provides leadership stability, and the 'blue-collar work ethic' culture described in podcast interviews suggests a grounded, accessible leadership style. The appointment of a Chief Strategy Officer and Director of AI and Innovation show investment in organizational capability. However, no specific voluntary turnover, average tenure, or internal mobility data was identified to distinguish FNB from peer banks.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FNB's competitive positioning acknowledges the strengths of larger regional banks (PNC, KeyBank) and uses their scale advantages as motivation to differentiate through technology (eStore), culture (Top Workplaces), and community focus. CEO Delie's Digital Banker recognition reflects competitive benchmarking against peers rather than a 'beat the competition' mindset. The company competes by building strengths rather than attacking rivals' weaknesses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F.N.B. has operated the same community banking business model for over 50 years. Growth has come through geographic expansion via acquisitions (adding branches in the Carolinas, mid-Atlantic) rather than business model transformation [1]. The eStore digital platform represents modernization, not reinvention. The company has not faced an existential strategic choice that required abandoning what was working. This is organizational consistency, which has value, but it is not existential flexibility in Sinek's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Delie's commitment to technology investment and the recent AI/Innovation director hire represent forward-looking decisions that prioritize long-term capability over short-term cost savings [2]. Maintaining 52 consecutive years of dividends through multiple banking crises (2008 GFC, 2020 COVID, 2023 regional banking stress) required discipline and capital management. The 8% dividend increase and $250M buyback authorization signal confidence. However, these are conventional capital allocation decisions for a profitable bank, not costly bets that sacrifice near-term earnings for long-term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F.N.B. Corporation at 10.4x forward earnings offers a well-managed regional bank with 52 consecutive years of dividends, record revenue momentum, and a valuation discount to the banking sector. Q2 2026 delivered record revenue of $462.7M with EPS of $0.42 (+17% YoY), demonstrating the franchise value of FNB's community banking model across Pennsylvania, Ohio, and the expanding Carolinas footprint [1]. The 2.81% dividend yield with a conservative 30.94% payout ratio provides substantial room for continued dividend growth — the recent 8% hike to $0.13/quarter signals management confidence, and the new $250M buyback authorization adds capital return upside. CEO Delie's 14-year tenure has earned national recognition (Digital Banker 'CEO of the Year'), and FNB's Top Workplaces awards reflect organizational health that supports long-term performance [2]. Profit margin of 34.62% and free cash flow of $622M demonstrate operational efficiency. The Inspire Impact Score of 47 (ALIGNED) with 11 positive attributions and zero negatives makes FNB suitable for faith-based investors.</w:t>
      </w:r>
    </w:p>
    <w:p>
      <w:pPr>
        <w:spacing w:after="120"/>
      </w:pPr>
      <w:r>
        <w:rPr>
          <w:rFonts w:ascii="Calibri" w:hAnsi="Calibri"/>
          <w:b w:val="0"/>
          <w:color w:val="3A4A28"/>
          <w:sz w:val="20"/>
        </w:rPr>
        <w:t>The bear case centers on limited growth runway, interest rate sensitivity, and regional banking structural challenges. Revenue growth of 9% YoY and 7.7% 5-year CAGR reflect solid but unspectacular organic growth supplemented by acquisitions — at 10.4x forward earnings, the stock is fairly valued for a mid-single-digit growth trajectory with limited upside catalyst [1]. ROE of 9.04% is below the 15% target and mediocre for a bank, reflecting the capital-intensive nature of regulated banking and potentially conservative capital deployment. The 5-year dividend growth CAGR of just 1.6% reveals that the 8% hike was an exception to years of flat dividends at $0.12/quarter — income investors need sustained growth, not one-time adjustments. FNB faces structural headwinds common to regional banks: net interest margin compression if rates decline, competition from fintech and money-center banks for deposits and loans, and regulatory compliance costs that disproportionately burden sub-$50B asset banks. The 2023 regional banking crisis (SVB, First Republic) demonstrated that confidence-driven deposit flight can threaten any bank regardless of fundamental health. Geographic concentration in Pennsylvania and the mid-Atlantic creates economic sensitivity to those regional economies.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revenue of $462.7M with 17% EPS growth demonstrates sustained earnings momentum — continuation of this trajectory through H2 2026 could drive re-rating toward the 12-13x P/E range of better-performing regional peers [1]</w:t>
      </w:r>
    </w:p>
    <w:p>
      <w:pPr>
        <w:spacing w:before="40" w:after="40"/>
        <w:ind w:left="283"/>
      </w:pPr>
      <w:r>
        <w:rPr>
          <w:rFonts w:ascii="Calibri" w:hAnsi="Calibri"/>
          <w:b/>
          <w:color w:val="4A6B25"/>
          <w:sz w:val="20"/>
        </w:rPr>
        <w:t xml:space="preserve">2. </w:t>
      </w:r>
      <w:r>
        <w:rPr>
          <w:rFonts w:ascii="Calibri" w:hAnsi="Calibri"/>
          <w:b w:val="0"/>
          <w:color w:val="3A4A28"/>
          <w:sz w:val="20"/>
        </w:rPr>
        <w:t>New $250M share buyback authorization combined with 8% dividend increase provides a dual capital return catalyst, with the 30.94% payout ratio leaving significant room for further dividend growth acceleration [1]</w:t>
      </w:r>
    </w:p>
    <w:p>
      <w:pPr>
        <w:spacing w:before="40" w:after="40"/>
        <w:ind w:left="283"/>
      </w:pPr>
      <w:r>
        <w:rPr>
          <w:rFonts w:ascii="Calibri" w:hAnsi="Calibri"/>
          <w:b/>
          <w:color w:val="4A6B25"/>
          <w:sz w:val="20"/>
        </w:rPr>
        <w:t xml:space="preserve">3. </w:t>
      </w:r>
      <w:r>
        <w:rPr>
          <w:rFonts w:ascii="Calibri" w:hAnsi="Calibri"/>
          <w:b w:val="0"/>
          <w:color w:val="3A4A28"/>
          <w:sz w:val="20"/>
        </w:rPr>
        <w:t>AI and Innovation director hire plus eStore platform expansion could differentiate FNB from regional bank peers in digital customer acquisition, potentially accelerating the Carolinas market expansion and lowering the cost-to-serve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as potential Fed rate cuts could compress net interest margins, which drive the majority of FNB's revenue — regional banks with large deposit bases face NIM pressure in a declining rate environment [1]</w:t>
      </w:r>
    </w:p>
    <w:p>
      <w:pPr>
        <w:spacing w:before="40" w:after="40"/>
        <w:ind w:left="283"/>
      </w:pPr>
      <w:r>
        <w:rPr>
          <w:rFonts w:ascii="Calibri" w:hAnsi="Calibri"/>
          <w:b/>
          <w:color w:val="4A6B25"/>
          <w:sz w:val="20"/>
        </w:rPr>
        <w:t xml:space="preserve">2. </w:t>
      </w:r>
      <w:r>
        <w:rPr>
          <w:rFonts w:ascii="Calibri" w:hAnsi="Calibri"/>
          <w:b w:val="0"/>
          <w:color w:val="3A4A28"/>
          <w:sz w:val="20"/>
        </w:rPr>
        <w:t>Regional banking structural headwinds including fintech competition for deposits and loans, regulatory compliance cost burden on sub-$50B asset banks, and the lingering confidence risk exposed by the 2023 SVB/First Republic crisis [4]</w:t>
      </w:r>
    </w:p>
    <w:p>
      <w:pPr>
        <w:spacing w:before="40" w:after="40"/>
        <w:ind w:left="283"/>
      </w:pPr>
      <w:r>
        <w:rPr>
          <w:rFonts w:ascii="Calibri" w:hAnsi="Calibri"/>
          <w:b/>
          <w:color w:val="4A6B25"/>
          <w:sz w:val="20"/>
        </w:rPr>
        <w:t xml:space="preserve">3. </w:t>
      </w:r>
      <w:r>
        <w:rPr>
          <w:rFonts w:ascii="Calibri" w:hAnsi="Calibri"/>
          <w:b w:val="0"/>
          <w:color w:val="3A4A28"/>
          <w:sz w:val="20"/>
        </w:rPr>
        <w:t>ROE of 9.04% is below peer targets and limits the stock's re-rating potential — without improving capital efficiency through higher returns on the equity base, FNB may remain a dividend income story rather than a total return opportunity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F.N.B.'s core community banking business is protected by meaningful structural moats against AI disruption. Regulatory requirements (banking charters, capital adequacy, consumer protection laws) create barriers that AI cannot bypass [1]. Physical branch networks provide relationship-driven service that digital-only competitors have struggled to replicate, especially in small business and commercial lending where trust-based relationships drive decisions. Deposit franchises are inherently sticky with high switching costs. However, AI does create competitive pressure in specific business lines: AI-powered lending platforms (SoFi, Upstart) compete on consumer loan origination, AI chatbots could reduce the value of branch-based service for routine transactions, and fintech neobanks with AI-driven personalization compete for younger customers. The wealth management and insurance segments face AI advisory tool competition. AI Opportunity (1/1): FNB generates AI-embedded value through its award-winning eStore digital platform and is actively investing in AI through a newly created Director of AI and Innovation role focused on enterprise AI implementation and fintech partnerships [2]. While specific AI revenue is not separately reported, the digital banking platform drives customer acquisition and retention in a competitive landscape.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F.N.B. Corporation Q2 2026 Earnings Release — Record Revenue $462.7M, EPS $0.42 (+17% YoY), 8% Dividend Increase to $0.13/quarter, $250M Buyback, July 2026</w:t>
      </w:r>
    </w:p>
    <w:p>
      <w:pPr>
        <w:spacing w:before="20" w:after="20"/>
        <w:ind w:left="170"/>
      </w:pPr>
      <w:r>
        <w:rPr>
          <w:rFonts w:ascii="Calibri" w:hAnsi="Calibri"/>
          <w:b/>
          <w:color w:val="4A6B25"/>
          <w:sz w:val="15"/>
        </w:rPr>
        <w:t xml:space="preserve">2. </w:t>
      </w:r>
      <w:r>
        <w:rPr>
          <w:rFonts w:ascii="Calibri" w:hAnsi="Calibri"/>
          <w:b w:val="0"/>
          <w:color w:val="3A4A28"/>
          <w:sz w:val="17"/>
        </w:rPr>
        <w:t>FNB CEO Leadership and Culture Awards — Vincent Delie Digital Banker CEO of the Year, Top Workplaces Culture Excellence, Director of AI and Innovation Hire, eStore Platform, 2025-2026</w:t>
      </w:r>
    </w:p>
    <w:p>
      <w:pPr>
        <w:spacing w:before="20" w:after="20"/>
        <w:ind w:left="170"/>
      </w:pPr>
      <w:r>
        <w:rPr>
          <w:rFonts w:ascii="Calibri" w:hAnsi="Calibri"/>
          <w:b/>
          <w:color w:val="4A6B25"/>
          <w:sz w:val="15"/>
        </w:rPr>
        <w:t xml:space="preserve">3. </w:t>
      </w:r>
      <w:r>
        <w:rPr>
          <w:rFonts w:ascii="Calibri" w:hAnsi="Calibri"/>
          <w:b w:val="0"/>
          <w:color w:val="3A4A28"/>
          <w:sz w:val="17"/>
        </w:rPr>
        <w:t>F.N.B. Corporation ESG Recognition — Coalition Greenwich Standout Commercial Banks for ESG Commitment (One of Six Nationally), 2023</w:t>
      </w:r>
    </w:p>
    <w:p>
      <w:pPr>
        <w:spacing w:before="20" w:after="20"/>
        <w:ind w:left="170"/>
      </w:pPr>
      <w:r>
        <w:rPr>
          <w:rFonts w:ascii="Calibri" w:hAnsi="Calibri"/>
          <w:b/>
          <w:color w:val="4A6B25"/>
          <w:sz w:val="15"/>
        </w:rPr>
        <w:t xml:space="preserve">4. </w:t>
      </w:r>
      <w:r>
        <w:rPr>
          <w:rFonts w:ascii="Calibri" w:hAnsi="Calibri"/>
          <w:b w:val="0"/>
          <w:color w:val="3A4A28"/>
          <w:sz w:val="17"/>
        </w:rPr>
        <w:t>StockAnalysis.com — FNB Key Statistics: Forward P/E 10.38, D/E 29%, ROE 9.04%, Profit Margin 34.62%, Dividend Yield 2.81%, Payout 30.94%, Stock Price $18.53,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