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FOLD</w:t>
      </w:r>
      <w:r>
        <w:rPr>
          <w:rFonts w:ascii="Calibri" w:hAnsi="Calibri"/>
          <w:b/>
          <w:color w:val="1A2010"/>
          <w:sz w:val="40"/>
        </w:rPr>
        <w:t xml:space="preserve">  Amicus Therapeutics, Inc.</w:t>
      </w:r>
    </w:p>
    <w:p>
      <w:pPr>
        <w:spacing w:after="120"/>
      </w:pPr>
      <w:r>
        <w:rPr>
          <w:rFonts w:ascii="Calibri" w:hAnsi="Calibri"/>
          <w:b/>
          <w:color w:val="6E8450"/>
          <w:sz w:val="18"/>
        </w:rPr>
        <w:t>GROWTH SLEEVE · 2026-08-22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Amicus Therapeutics was a rare disease biopharmaceutical company focused on developing and commercializing therapies for Fabry disease (Galafold/migalastat) and Pompe disease (Pombiliti+Opfolda). The company generated $634M in FY2025 revenue growing 17% YoY. BioMarin Pharmaceutical acquired Amicus for $14.50/share ($4.8B) in an all-cash transaction that closed April 27, 2026, after which FOLD was delisted from NASDAQ. Results are now consolidated within BioMarin's rare disease portfolio.</w:t>
      </w:r>
    </w:p>
    <w:p>
      <w:r>
        <w:rPr>
          <w:rFonts w:ascii="Calibri" w:hAnsi="Calibri"/>
          <w:b/>
          <w:color w:val="6E8450"/>
          <w:sz w:val="18"/>
        </w:rPr>
        <w:t>800 Employees · https://www.amicusrx.com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Amicus successfully commercialized two rare disease products — Galafold (migalastat) for Fabry disease, generating $521.7M in FY2025 revenue (+12% CER), and Pombiliti+Opfolda for Pompe disease, generating $112.5M (+56% CER) [1]. Both represent meaningful advances in enzyme replacement therapy, though neither created an entirely new therapeutic category. AI Deployment (0/2): No evidence of meaningful AI integration in drug development or commercial operations; Amicus operated as a traditional biotech with conventional R&amp;D processes and did not publicly disclose AI-driven drug discovery or clinical trial optimization programs. Market Share (1/2): Galafold holds a meaningful share of the oral Fabry disease treatment market, competing against Sanofi's Fabrazyme and Takeda's Replagal, with continued geographic expansion driving growth. Pombiliti+Opfolda is establishing share in Pompe disease against Sanofi's Myozyme/Lumizyme [1]. Pipeline (1/2): Prior to acquisition, Amicus had gene therapy research programs and label expansion efforts for existing products, though pipeline depth was limited compared to larger rare disease peers. R&amp;D Intensity (1/1): As a biotech, R&amp;D spending was substantial relative to revenue, consistent with the industry but reflecting ongoing investment in clinical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Amicus's patient-first mission — delivering transformative therapies for people living with rare diseases — was specific, differentiated, and clearly lived through organizational decisions including the 'Healing Beyond Disease' initiative and patient access programs [4]. CEO Bradley Campbell consistently articulated a purpose beyond shareholder returns, emphasizing the company's obligation to patients with limited treatment options. Community Impact (1/2): The company maintained robust patient assistance and compassionate use programs, with the 'Healing Beyond Disease' corporate social responsibility initiative extending impact beyond commercial products. Board diversity was strong at 56% overall with 89% independence [4]. Employee Retention (1/2): Glassdoor reviews describe a strong patient-focused culture where employees feel they are making a meaningful impact, with an approachable CEO. However, reviews also cite poor leadership communication, lack of transparency around organizational changes, and a conservative approach to innovation despite encouraging boundary-pushing [3]. Insider Buying (0/2): No significant net insider buying was identified in public filings prior to the BioMarin acquisition announcement.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strength — 17% YoY growth and an estimated ~19% 5-year CAGR both exceed the 10% target, reflecting successful Galafold geographic expansion and rapid Pombiliti+Opfolda adoption [1]. D/E of 143.2% is above the 70% target but well below the 300% floor, scoring 0.68. However, GAAP profitability remained elusive with ROE of -9.9% and profit margin of -4.3% dragging scores to zero on those metrics, despite non-GAAP net income of $96.8M ($0.31/share) indicating underlying operational profitability [1]. Forward P/E and PEG ratio are unavailable as the company was acquired before providing 2026 guidance and subsequently delisted [2]. The stock easily cleared the liquidity floor prior to delisting with estimated daily trading value of ~$58M.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Amicus demonstrated meaningful infinite game characteristics through its patient-first mission, willingness to invest through years of losses to bring rare disease therapies to market, and genuine commitment to patients beyond commercial returns. However, the decision to sell to BioMarin for $14.50/share, while delivering shareholder value, represents an exit from independent play — trading long-term mission autonomy for near-term certainty. Mixed Glassdoor reviews on leadership transparency and conservative organizational culture suggest trusting teams were not fully developed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Amicus's cause — transforming the lives of people living with rare diseases — was specific, inclusive, and demonstrably lived through years of sustained investment despite operating losses [1]. The 'Healing Beyond Disease' initiative and patient access programs reflected genuine commitment beyond commercial obligations. However, the sale to BioMarin raises questions about whether the cause was ultimately subordinated to financial outcomes, though the deal arguably expands patient access through BioMarin's larger global infrastructure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consistently praise the patient-focused culture and the sense of meaningful work, with CEO Bradley Campbell described as approachable and mission-driven [3]. However, multiple Glassdoor reviews cite 'extremely poor leadership communication,' lack of transparency around job security and organizational changes, and a disconnect between stated values of innovation and a conservative, change-resistant organizational culture. The pending acquisition likely exacerbated uncertainty and trust deficits in the final months of independence.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Amicus competed constructively in the rare disease space against larger players like Sanofi (Fabrazyme, Myozyme) and Takeda (Replagal), using their established therapies as benchmarks to improve upon rather than attempting to undercut them on price. The development of next-generation enzyme replacement therapy (Pombiliti+Opfolda) was driven by genuine therapeutic improvement over existing standards of care rather than purely competitive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Amicus pivoted from its original small-molecule pharmacological chaperone focus to combine enzyme replacement with chaperone technology (Pombiliti+Opfolda), demonstrating willingness to evolve its therapeutic approach [1]. The company also explored gene therapy as a next-generation platform. However, the ultimate decision to sell to BioMarin rather than continue building independently could be viewed as choosing certainty over continued evolution, particularly given the early-stage gene therapy pipeline that required significant additional investment.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Amicus invested through a decade of operating losses to bring Galafold and Pombiliti+Opfolda to market, demonstrating willingness to absorb short-term financial pain for long-term patient impact [1]. The company resisted pressure to cut R&amp;D spending during lean years. However, the sale to BioMarin at $14.50/share — while a premium to pre-announcement trading levels — occurred before the company demonstrated sustained GAAP profitability, suggesting leadership chose the safer path over continuing to prove the independent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Amicus Therapeutics was a rare disease-focused biotech generating $634M in FY2025 revenue (+17% YoY) across two commercial products: Galafold ($522M, +12% CER) for Fabry disease and Pombiliti+Opfolda ($113M, +56% CER) for Pompe disease [1]. The company was approaching a GAAP profitability inflection with non-GAAP net income of $96.8M ($0.31/share) and strengthening unit economics as the Pombiliti+Opfolda launch scaled. The patient-first mission, strong Inspire Impact Score of 48 (ALIGNED), and rare disease focus — where unmet medical need is high and competitive dynamics favor specialty players — supported a constructive fundamental thesis.</w:t>
      </w:r>
    </w:p>
    <w:p>
      <w:pPr>
        <w:spacing w:after="120"/>
      </w:pPr>
      <w:r>
        <w:rPr>
          <w:rFonts w:ascii="Calibri" w:hAnsi="Calibri"/>
          <w:b w:val="0"/>
          <w:color w:val="3A4A28"/>
          <w:sz w:val="20"/>
        </w:rPr>
        <w:t>BioMarin's acquisition for $14.50/share ($4.8B) closed April 27, 2026, ending FOLD's independent trading life [2]. The deal valued Amicus at roughly 7.6x trailing revenue, reflecting the growth trajectory and strategic value of its rare disease portfolio. Investors who held through received a ~30% premium to pre-announcement levels. Going forward, Amicus's products are consolidated within BioMarin's rare disease portfolio, where Q2 2026 combined revenue grew 20% YoY. Key residual risks include BioMarin integration execution, potential disruption to the patient-focused culture Amicus had built, and pipeline investment decisions now subject to BioMarin's broader portfolio priorities. The FOLD ticker is no longer tradeable — this report reflects the company's fundamentals at the time of its final standalone reporting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BioMarin acquisition closed at $14.50/share ($4.8B), delivering a ~30% premium to pre-announcement trading price and validating the rare disease franchise value [2]</w:t>
      </w:r>
    </w:p>
    <w:p>
      <w:pPr>
        <w:spacing w:before="40" w:after="40"/>
        <w:ind w:left="283"/>
      </w:pPr>
      <w:r>
        <w:rPr>
          <w:rFonts w:ascii="Calibri" w:hAnsi="Calibri"/>
          <w:b/>
          <w:color w:val="4A6B25"/>
          <w:sz w:val="20"/>
        </w:rPr>
        <w:t xml:space="preserve">2. </w:t>
      </w:r>
      <w:r>
        <w:rPr>
          <w:rFonts w:ascii="Calibri" w:hAnsi="Calibri"/>
          <w:b w:val="0"/>
          <w:color w:val="3A4A28"/>
          <w:sz w:val="20"/>
        </w:rPr>
        <w:t>Pombiliti+Opfolda revenue growing 56% YoY at CER to $112.5M in FY2025, with continued global launch momentum providing a multi-year growth runway within BioMarin's portfolio [1]</w:t>
      </w:r>
    </w:p>
    <w:p>
      <w:pPr>
        <w:spacing w:before="40" w:after="40"/>
        <w:ind w:left="283"/>
      </w:pPr>
      <w:r>
        <w:rPr>
          <w:rFonts w:ascii="Calibri" w:hAnsi="Calibri"/>
          <w:b/>
          <w:color w:val="4A6B25"/>
          <w:sz w:val="20"/>
        </w:rPr>
        <w:t xml:space="preserve">3. </w:t>
      </w:r>
      <w:r>
        <w:rPr>
          <w:rFonts w:ascii="Calibri" w:hAnsi="Calibri"/>
          <w:b w:val="0"/>
          <w:color w:val="3A4A28"/>
          <w:sz w:val="20"/>
        </w:rPr>
        <w:t>Approaching GAAP profitability inflection with non-GAAP net income of $96.8M in FY2025, suggesting the underlying business model was reaching self-sustaining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FOLD is delisted following BioMarin's acquisition — investors can no longer buy or sell shares independently, and the thesis is now embedded within BioMarin (BMRN) [2]</w:t>
      </w:r>
    </w:p>
    <w:p>
      <w:pPr>
        <w:spacing w:before="40" w:after="40"/>
        <w:ind w:left="283"/>
      </w:pPr>
      <w:r>
        <w:rPr>
          <w:rFonts w:ascii="Calibri" w:hAnsi="Calibri"/>
          <w:b/>
          <w:color w:val="4A6B25"/>
          <w:sz w:val="20"/>
        </w:rPr>
        <w:t xml:space="preserve">2. </w:t>
      </w:r>
      <w:r>
        <w:rPr>
          <w:rFonts w:ascii="Calibri" w:hAnsi="Calibri"/>
          <w:b w:val="0"/>
          <w:color w:val="3A4A28"/>
          <w:sz w:val="20"/>
        </w:rPr>
        <w:t>Integration risk as BioMarin absorbs Amicus's ~800 employees and culture — Glassdoor reviews already cited communication and transparency concerns that could worsen during integration [3]</w:t>
      </w:r>
    </w:p>
    <w:p>
      <w:pPr>
        <w:spacing w:before="40" w:after="40"/>
        <w:ind w:left="283"/>
      </w:pPr>
      <w:r>
        <w:rPr>
          <w:rFonts w:ascii="Calibri" w:hAnsi="Calibri"/>
          <w:b/>
          <w:color w:val="4A6B25"/>
          <w:sz w:val="20"/>
        </w:rPr>
        <w:t xml:space="preserve">3. </w:t>
      </w:r>
      <w:r>
        <w:rPr>
          <w:rFonts w:ascii="Calibri" w:hAnsi="Calibri"/>
          <w:b w:val="0"/>
          <w:color w:val="3A4A28"/>
          <w:sz w:val="20"/>
        </w:rPr>
        <w:t>Gene therapy pipeline programs require significant additional investment and face binary clinical outcomes — BioMarin's portfolio prioritization may deprioritize Amicus's earlier-stage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Rare disease therapeutics face relatively low AI disruption risk — the core business of developing, manufacturing, and distributing enzyme replacement therapies requires deep biological expertise, regulatory navigation, and specialized manufacturing that AI cannot easily replicate or commoditize [1]. Patient relationships and physician trust in established brands provide switching cost protection. However, AI-accelerated drug discovery could enable competitors to develop rival therapies faster, and AI-powered clinical trial design could advantage larger pharma companies with more data assets. The acquisition by BioMarin partially mitigates this by providing scale and data resources. AI Opportunity (1/1): While Amicus did not generate direct AI revenue, the broader BioMarin platform could leverage AI for clinical trial optimization, patient identification in rare disease populations (where diagnosis is notoriously delayed), and manufacturing process optimization for biologic therapies.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Amicus Therapeutics Q4 &amp; Full Year 2025 Earnings Release — Revenue $634.2M (+17% CER), Galafold $521.7M, Pombiliti+Opfolda $112.5M, Non-GAAP Net Income $96.8M,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BioMarin to Acquire Amicus Therapeutics for $4.8B ($14.50/share) — Deal Announced December 2025, Closed April 27, 2026, FOLD Delisted — BioMarin Investor Relations, Sahm Capital, April 2026</w:t>
      </w:r>
    </w:p>
    <w:p>
      <w:pPr>
        <w:spacing w:before="20" w:after="20"/>
        <w:ind w:left="170"/>
      </w:pPr>
      <w:r>
        <w:rPr>
          <w:rFonts w:ascii="Calibri" w:hAnsi="Calibri"/>
          <w:b/>
          <w:color w:val="4A6B25"/>
          <w:sz w:val="15"/>
        </w:rPr>
        <w:t xml:space="preserve">3. </w:t>
      </w:r>
      <w:r>
        <w:rPr>
          <w:rFonts w:ascii="Calibri" w:hAnsi="Calibri"/>
          <w:b w:val="0"/>
          <w:color w:val="3A4A28"/>
          <w:sz w:val="17"/>
        </w:rPr>
        <w:t>Amicus Therapeutics Glassdoor Reviews — Employee Culture, Leadership Communication, CEO Bradley Campbell,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Amicus Therapeutics 2024 ESG Report — Healing Beyond Disease Initiative, 89% Board Independence, 56% Board Diversity, BioSpace, March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FOLD Key Statistics, Last Traded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