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FTECX</w:t>
      </w:r>
      <w:r>
        <w:rPr>
          <w:rFonts w:ascii="Calibri" w:hAnsi="Calibri"/>
          <w:b/>
          <w:color w:val="1A2010"/>
          <w:sz w:val="40"/>
        </w:rPr>
        <w:t xml:space="preserve">  Touchstone International Value Fund (Class C)</w:t>
      </w:r>
    </w:p>
    <w:p>
      <w:pPr>
        <w:spacing w:after="120"/>
      </w:pPr>
      <w:r>
        <w:rPr>
          <w:rFonts w:ascii="Calibri" w:hAnsi="Calibri"/>
          <w:b/>
          <w:color w:val="6E8450"/>
          <w:sz w:val="18"/>
        </w:rPr>
        <w:t>GROWTH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Mutual Fund · NASDAQ · United States</w:t>
      </w:r>
    </w:p>
    <w:p>
      <w:pPr>
        <w:spacing w:after="80"/>
      </w:pPr>
      <w:r>
        <w:rPr>
          <w:rFonts w:ascii="Calibri" w:hAnsi="Calibri"/>
          <w:b w:val="0"/>
          <w:color w:val="3A4A28"/>
          <w:sz w:val="20"/>
        </w:rPr>
        <w:t>Touchstone International Value Fund (Class C) is an open-end mutual fund investing primarily in value securities of companies in non-U.S. markets. Sub-advised by LSV Asset Management, a quantitative value manager. Formerly known as the Touchstone International Equity Fund, the fund changed its name, investment objective, benchmark, and sub-adviser on April 30, 2024 [1]. Net assets of approximately $18.6 million with a 9.12% expense ratio for Class C shares. Part of the Touchstone Investments family, a subsidiary of Western &amp; Southern Financial Group. Top holdings include Airbus SE (4.03%) and Cobham PLC (3.22%) [2].</w:t>
      </w:r>
    </w:p>
    <w:p>
      <w:r>
        <w:rPr>
          <w:rFonts w:ascii="Calibri" w:hAnsi="Calibri"/>
          <w:b/>
          <w:color w:val="6E8450"/>
          <w:sz w:val="18"/>
        </w:rPr>
        <w:t>https://www.westernsouthern.com/touchstone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fund underwent a complete strategic overhaul in April 2024 — renaming from Touchstone International Equity Fund, changing its investment objective to international value, switching sub-adviser to LSV Asset Management, and adopting a new benchmark [1]. This represents one meaningful pivot, though the result has been poor with a -10.7% one-year return. AI Deployment (0/2): No AI products or quantified AI-driven improvements. LSV Asset Management uses quantitative models but these predate the AI era and are not marketed as AI-powered. Market Share (0/2): At $18.6M in net assets, FTECX is a micro-sized fund in the international value category, far from category leadership [2]. Product Pipeline (0/2): No next-generation products or fund innovations announced. R&amp;D Intensity (0/1): Not applicable to fund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Touchstone Investments' purpose — 'distinctly active investing' — is a branding tagline rather than a mission. It differentiates from passive management but does not articulate a deeper purpose or vision of a better future. Interchangeable with any active management firm [1]. Community Impact (0/2): No evidence of charitable programs or community investment specific to FTECX or Touchstone Investments. Western &amp; Southern Financial Group may have philanthropic programs, but none were identified in research. Employee Retention (0/2): No public data on employee retention, tenure, or workplace culture for Touchstone or its sub-adviser LSV. Insider Buying (0/2): Not applicable to a mutual fund structure. No insider transaction data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scored 0 due to fundamental incompatibility between the IOWN framework and a mutual fund vehicle. FTECX is an open-end mutual fund purchased and redeemed at NAV — there is no secondary market trading and no avg_daily_volume in the traditional sense, triggering the liquidity floor [2]. All standard financial metrics (P/E, D/E, ROE, profit margin, revenue growth) are inapplicable to a fund structure. The fund's own performance metrics are deeply concerning: -10.7% one-year return, only $18.6M in net assets (suggesting potential viability risk), and a 9.12% expense ratio for Class C shares that is extraordinarily high and destructive to long-term returns [2][3]. The Class C structure layers front-end loads, 12b-1 fees, and contingent deferred sales charges that compound against investor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FTECX is a mutual fund product within the Touchstone Investments family, itself a subsidiary of Western &amp; Southern Financial Group. Funds exist to generate risk-adjusted returns for shareholders — a legitimate purpose but not a Just Cause. The fund's recent complete overhaul (name change, new objective, new sub-adviser) suggests reactive strategic positioning rather than purpose-driven evolution. The finite-game orientation is reinforced by the Class C share structure, which optimizes for distribution compensation and short-term sales rather than long-term investor alignment.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FTECX exists to generate investment returns through international value investing. The complete strategic overhaul in April 2024 — changing name, objective, and sub-adviser — suggests the fund's purpose is determined by market positioning rather than an enduring cause. 'Distinctly active investing' is a marketing tagline, not a vision of a better future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 mutual fund, there is no organizational team to evaluate. The sub-adviser (LSV Asset Management) manages the portfolio, while Touchstone handles distribution. No data on culture, trust, or team dynamics within either organization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fund competes in the international value category with dozens of peers but does not publicly acknowledge or learn from competitors' strengths. The strategic overhaul appears reactive to competitive pressure rather than motivated by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2024 name change and sub-adviser switch represent strategic change, these are reactive adjustments to poor performance rather than proactive existential flexibility in service of a cause. The fundamental business model (open-end mutual fund with Class C distribution fees) remains unchanged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strategic overhaul appears to be performance-driven repositioning. Maintaining a 9.12% expense ratio on a $18.6M fund while delivering -10.7% one-year returns does not demonstrate leadership courage in service of investor interests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FTECX provides exposure to international value stocks through LSV Asset Management's quantitative value approach, which has a long track record in factor-based investing [1]. The April 2024 restructuring — new sub-adviser, new objective, new benchmark — represents a clean strategic reset that could improve performance if LSV's international value discipline resonates with the current market cycle. For investors who believe in active international value management and want access to LSV's institutional expertise, the fund provides a packaged solution [2].</w:t>
      </w:r>
    </w:p>
    <w:p>
      <w:pPr>
        <w:spacing w:after="120"/>
      </w:pPr>
      <w:r>
        <w:rPr>
          <w:rFonts w:ascii="Calibri" w:hAnsi="Calibri"/>
          <w:b w:val="0"/>
          <w:color w:val="3A4A28"/>
          <w:sz w:val="20"/>
        </w:rPr>
        <w:t>However, FTECX faces severe structural headwinds that make it nearly uninvestable. The 9.12% expense ratio for Class C shares is extraordinarily high — investors lose 9.12 cents of every dollar annually to fees before any market performance, creating an almost insurmountable drag on returns [2]. At just $18.6M in net assets, the fund is sub-scale and faces potential closure or merger risk. The -10.7% one-year return demonstrates that the 2024 strategic overhaul has not yet produced results. Like VFLEX, FTECX is structurally incompatible with the IOWN framework, which evaluates operating companies rather than fund vehicles. The SELL rating reflects both the framework mismatch and the fund's own fundamental weaknesses: excessive fees, sub-scale AUM, poor recent performance, and a Class C structure that prioritizes distribution compensation over investor alignment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value stocks outperforming growth in 2026-2027 could drive NAV recovery and narrow the performance gap — the value factor has historically been cyclical [1]</w:t>
      </w:r>
    </w:p>
    <w:p>
      <w:pPr>
        <w:spacing w:before="40" w:after="40"/>
        <w:ind w:left="283"/>
      </w:pPr>
      <w:r>
        <w:rPr>
          <w:rFonts w:ascii="Calibri" w:hAnsi="Calibri"/>
          <w:b/>
          <w:color w:val="4A6B25"/>
          <w:sz w:val="20"/>
        </w:rPr>
        <w:t xml:space="preserve">2. </w:t>
      </w:r>
      <w:r>
        <w:rPr>
          <w:rFonts w:ascii="Calibri" w:hAnsi="Calibri"/>
          <w:b w:val="0"/>
          <w:color w:val="3A4A28"/>
          <w:sz w:val="20"/>
        </w:rPr>
        <w:t>LSV Asset Management's quantitative discipline producing alpha over the new benchmark, validating the April 2024 sub-adviser switch</w:t>
      </w:r>
    </w:p>
    <w:p>
      <w:pPr>
        <w:spacing w:before="40" w:after="40"/>
        <w:ind w:left="283"/>
      </w:pPr>
      <w:r>
        <w:rPr>
          <w:rFonts w:ascii="Calibri" w:hAnsi="Calibri"/>
          <w:b/>
          <w:color w:val="4A6B25"/>
          <w:sz w:val="20"/>
        </w:rPr>
        <w:t xml:space="preserve">3. </w:t>
      </w:r>
      <w:r>
        <w:rPr>
          <w:rFonts w:ascii="Calibri" w:hAnsi="Calibri"/>
          <w:b w:val="0"/>
          <w:color w:val="3A4A28"/>
          <w:sz w:val="20"/>
        </w:rPr>
        <w:t>Potential share class conversion to lower-cost Institutional shares or ETF wrapper that would reduce the fee drag and attract new assets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9.12% expense ratio for Class C shares is destructive to long-term returns — over 10 years, fees alone consume approximately 60% of a hypothetical 10% gross return, making positive net-of-fee performance nearly impossible [2]</w:t>
      </w:r>
    </w:p>
    <w:p>
      <w:pPr>
        <w:spacing w:before="40" w:after="40"/>
        <w:ind w:left="283"/>
      </w:pPr>
      <w:r>
        <w:rPr>
          <w:rFonts w:ascii="Calibri" w:hAnsi="Calibri"/>
          <w:b/>
          <w:color w:val="4A6B25"/>
          <w:sz w:val="20"/>
        </w:rPr>
        <w:t xml:space="preserve">2. </w:t>
      </w:r>
      <w:r>
        <w:rPr>
          <w:rFonts w:ascii="Calibri" w:hAnsi="Calibri"/>
          <w:b w:val="0"/>
          <w:color w:val="3A4A28"/>
          <w:sz w:val="20"/>
        </w:rPr>
        <w:t>At $18.6M in net assets, the fund is severely sub-scale and faces closure or merger risk if assets do not grow — Touchstone has already shuttered underperforming funds in its lineup [2]</w:t>
      </w:r>
    </w:p>
    <w:p>
      <w:pPr>
        <w:spacing w:before="40" w:after="40"/>
        <w:ind w:left="283"/>
      </w:pPr>
      <w:r>
        <w:rPr>
          <w:rFonts w:ascii="Calibri" w:hAnsi="Calibri"/>
          <w:b/>
          <w:color w:val="4A6B25"/>
          <w:sz w:val="20"/>
        </w:rPr>
        <w:t xml:space="preserve">3. </w:t>
      </w:r>
      <w:r>
        <w:rPr>
          <w:rFonts w:ascii="Calibri" w:hAnsi="Calibri"/>
          <w:b w:val="0"/>
          <w:color w:val="3A4A28"/>
          <w:sz w:val="20"/>
        </w:rPr>
        <w:t>Continued outperformance of growth over value in international markets would extend the -10.7% one-year loss trajectory and accelerate asset outflows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EXPOSED. Active international value fund management faces meaningful AI disruption risk from multiple vectors. Quantitative AI-driven strategies are increasingly replicating value factor investing at lower cost, and passive international value ETFs (expense ratios under 0.10%) directly threaten the fund's 9.12% expense structure [2]. LSV Asset Management's quantitative value approach, while sophisticated, relies on factor models that AI can replicate and potentially improve upon. The secular shift from active to passive management continues to accelerate, with AI-powered robo-advisors and algorithmic allocation reducing demand for high-cost active fund vehicles. However, international markets retain some inefficiency advantages for skilled active managers that AI cannot fully exploit due to data gaps and local market nuances. AI Opportunity (0/1): No AI revenue. The fund does not deploy or sell AI-powered investment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Touchstone Investments — International Value Fund Product Page and Strategy,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MutualFunds.com and Yahoo Finance — FTECX Fund Overview, Performance, and Expense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SEC 497K Filing — Touchstone Funds Group Trust,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