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FULC</w:t>
      </w:r>
      <w:r>
        <w:rPr>
          <w:rFonts w:ascii="Calibri" w:hAnsi="Calibri"/>
          <w:b/>
          <w:color w:val="1A2010"/>
          <w:sz w:val="40"/>
        </w:rPr>
        <w:t xml:space="preserve">  Fulcrum Therapeutics, Inc.</w:t>
      </w:r>
    </w:p>
    <w:p>
      <w:pPr>
        <w:spacing w:after="120"/>
      </w:pPr>
      <w:r>
        <w:rPr>
          <w:rFonts w:ascii="Calibri" w:hAnsi="Calibri"/>
          <w:b/>
          <w:color w:val="6E8450"/>
          <w:sz w:val="18"/>
        </w:rPr>
        <w:t>GROWTH SLEEVE · 2026-08-08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Fulcrum Therapeutics, Inc. was a clinical-stage biopharmaceutical company focused on developing small molecule therapies for genetically defined diseases, primarily rare hematological disorders. Following the Phase 3 failure of losmapimod (FSHD, partnered with Sanofi) and the FDA-driven discontinuation of pociredir (sickle cell disease) due to cancer risk concerns, the company has ceased all drug development activities, reduced its workforce by 85% to 9 employees, and is exploring strategic alternatives including a potential sale. Headquartered in Cambridge, Massachusetts.</w:t>
      </w:r>
    </w:p>
    <w:p>
      <w:r>
        <w:rPr>
          <w:rFonts w:ascii="Calibri" w:hAnsi="Calibri"/>
          <w:b/>
          <w:color w:val="6E8450"/>
          <w:sz w:val="18"/>
        </w:rPr>
        <w:t>9 Employees · https://www.fulcrumtx.com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Both of Fulcrum's pipeline programs have failed in the last two years. Losmapimod, the FSHD treatment partnered with Sanofi ($80M upfront deal), failed its Phase 3 REACH trial, ending the collaboration [4]. Pociredir, the sickle cell disease candidate, was discontinued in June 2026 after the FDA raised concerns about cancer risks associated with PRC2 inhibitors [3]. The company has no successful product launches and has pivoted from failure to failure. AI Deployment (0/2): No AI deployment in drug discovery, clinical operations, or any other function [5]. Market Share (0/2): Fulcrum has zero commercial products and zero market share in any therapeutic category. Product Pipeline (0/2): The pipeline is empty — all development programs have been discontinued and the company is exploring a sale with Leerink Partners as financial adviser [3]. R&amp;D Intensity (0/1): R&amp;D spending has been eliminated following the 85% workforce reduction from 57 to 9 employees; the company is in wind-down mode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Fulcrum's stated mission — developing therapies for genetically defined diseases including sickle cell disease and facioscapulohumeral muscular dystrophy — is clear, patient-centered, and addresses genuine unmet medical needs affecting millions globally [5]. The focus on rare diseases that lack adequate treatment options reflects purposeful intent. However, the mission is no longer being actively pursued following the discontinuation of all programs and the strategic review process, and similar missions are articulated by dozens of clinical-stage biotechs. Community Impact (0/2): No evidence of charitable programs or community investment initiatives beyond the inherent social value of rare disease drug development, which is now discontinued. Employee Retention (0/2): The company executed an 85% workforce reduction in June 2026, cutting from 57 to 9 employees, with $4.2M in severance costs [3]. This is the opposite of retention — it is organizational dissolution. Insider Buying (0/2): No evidence of meaningful insider buying. The stock has declined 43.95% over the past 52 weeks, suggesting insiders have not been stepping in to support the share price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only two available metrics — most financial ratios are inapplicable for a pre-revenue biotech in wind-down mode. D/E of 2% scores perfectly (essentially no debt — $5.3M total debt against $318.8M cash), giving the company a near-pristine balance sheet [2]. However, ROE of -32.38% scores zero, reflecting persistent net losses ($85M TTM, $18.9M in Q1 2026 alone) [1][2]. All other Infrastructure metrics — Forward P/E, Profit Margin, Revenue Growth, PEG — are unavailable because the company generates zero revenue and has negative earnings. The remarkable fact is that Fulcrum trades at $3.89 per share versus cash per share of $4.11 — a 5% discount to net cash — meaning the market assigns negative value to the company's remaining assets, liabilities, and strategic review process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Fulcrum Therapeutics exhibits a finite game mindset — the company pursued drug development as a venture-backed bet on specific programs rather than building an enduring organization. When both pipeline candidates failed, the company immediately moved to strategic alternatives (sale/merger) rather than rebuilding capabilities around its rare disease mission. The 85% workforce reduction and hiring of Leerink Partners to explore a sale demonstrate that organizational survival was never the primary objective.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Fulcrum's mission to develop therapies for genetically defined diseases like sickle cell disease and FSHD represents a genuine purpose with real patient impact [5]. However, Sinek would note that this cause has not survived adversity — when the pipeline programs failed, the company immediately abandoned the mission rather than finding new ways to serve the same patients. A truly infinite player with a Just Cause would have explored alternative approaches to rare disease therapeutics rather than initiating a wind-down. The mission appears to have been a business thesis, not a driving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85% workforce reduction from 57 to 9 employees in June 2026 is the most devastating possible outcome for organizational trust [3]. The $4.2M in severance costs provides some financial cushion for departing employees, but the signal is clear — the organization has been dissolved. Prior to the cuts, no exceptional trust or cultural indicators were identified. A company that eliminates 48 of 57 positions cannot score above 0 on Sinek's Trusting Teams dimension.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Fulcrum operated in the rare disease space alongside competitors like bluebird bio, Global Blood Therapeutics (acquired by Pfizer), and Vertex (sickle cell), but there is no public evidence of management referencing competitors' strengths as motivation for improvement or learning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Fulcrum showed no meaningful flexibility when faced with pipeline failures. When losmapimod failed Phase 3 with Sanofi, the company pivoted to pociredir for sickle cell disease — but when pociredir was also discontinued due to FDA concerns, the response was immediate wind-down rather than reinvention [3][4]. No attempt was made to leverage the company's small molecule discovery platform, gene regulation expertise, or $333M cash position to pursue alternative therapeutic approaches. The company is too young and small to have demonstrated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CEO Alex Sapir discontinued the pociredir program when the FDA raised cancer concerns — a necessary and responsible decision, but not a courageous one [3]. The subsequent 85% workforce reduction and strategic review represent capitulation rather than courage. No examples of leadership sacrificing short-term results for long-term capability building; the company defaulted to the standard biotech playbook of pursuing a sale when programs fail.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Fulcrum Therapeutics trades at $3.89 per share versus $4.11 in cash per share ($318.8M total cash), representing a rare situation where the equity is priced at a 5% discount to net cash [2]. With only $5.3M in total debt and 9 remaining employees, the company's burn rate has been dramatically reduced, and the cash runway extends well into 2029 [1]. The strategic review with Leerink Partners could result in a sale, merger, or asset transaction that returns cash to shareholders at or above current price levels, creating a potential floor on the investment. The stock is essentially a cash box with optionality.</w:t>
      </w:r>
    </w:p>
    <w:p>
      <w:pPr>
        <w:spacing w:after="120"/>
      </w:pPr>
      <w:r>
        <w:rPr>
          <w:rFonts w:ascii="Calibri" w:hAnsi="Calibri"/>
          <w:b w:val="0"/>
          <w:color w:val="3A4A28"/>
          <w:sz w:val="20"/>
        </w:rPr>
        <w:t>The bear case is straightforward: Fulcrum has no pipeline, no products, no revenue, and 9 employees. Both lead programs have failed — losmapimod in Phase 3 and pociredir due to FDA safety concerns — leaving the company with nothing to show for years of R&amp;D investment beyond a pile of cash [3][4]. The strategic review process may destroy value through management fees, adviser costs, and operational drag that erode the cash position over time. Prior class action lawsuits (2023) over failure to disclose preclinical safety concerns for FTX-6058 add potential legal liability. The 44% decline in share price over the past year and the 5% discount to cash suggest the market expects some value leakage before resolution. For an investment framework focused on operational excellence and long-term business building, a wind-down shell company scores poorly across every IOWN dimension regardless of the cash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resulting in a sale or merger at or above cash per share ($4.11), returning value to shareholders and potentially offering premium for any retained intellectual property or platform value</w:t>
      </w:r>
    </w:p>
    <w:p>
      <w:pPr>
        <w:spacing w:before="40" w:after="40"/>
        <w:ind w:left="283"/>
      </w:pPr>
      <w:r>
        <w:rPr>
          <w:rFonts w:ascii="Calibri" w:hAnsi="Calibri"/>
          <w:b/>
          <w:color w:val="4A6B25"/>
          <w:sz w:val="20"/>
        </w:rPr>
        <w:t xml:space="preserve">2. </w:t>
      </w:r>
      <w:r>
        <w:rPr>
          <w:rFonts w:ascii="Calibri" w:hAnsi="Calibri"/>
          <w:b w:val="0"/>
          <w:color w:val="3A4A28"/>
          <w:sz w:val="20"/>
        </w:rPr>
        <w:t>Potential reverse merger with a private biotech company seeking NASDAQ listing and access to Fulcrum's $318.8M cash position, which could create a new growth vehicle</w:t>
      </w:r>
    </w:p>
    <w:p>
      <w:pPr>
        <w:spacing w:before="40" w:after="40"/>
        <w:ind w:left="283"/>
      </w:pPr>
      <w:r>
        <w:rPr>
          <w:rFonts w:ascii="Calibri" w:hAnsi="Calibri"/>
          <w:b/>
          <w:color w:val="4A6B25"/>
          <w:sz w:val="20"/>
        </w:rPr>
        <w:t xml:space="preserve">3. </w:t>
      </w:r>
      <w:r>
        <w:rPr>
          <w:rFonts w:ascii="Calibri" w:hAnsi="Calibri"/>
          <w:b w:val="0"/>
          <w:color w:val="3A4A28"/>
          <w:sz w:val="20"/>
        </w:rPr>
        <w:t>Market recognition of the below-cash-value trading anomaly attracting activist or value investors who push for accelerated capital return through special dividends or share buybacks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process eroding cash through ongoing G&amp;A expenses, Leerink advisory fees, legal costs, and wind-down operational drag, progressively destroying the margin between stock price and cash per share</w:t>
      </w:r>
    </w:p>
    <w:p>
      <w:pPr>
        <w:spacing w:before="40" w:after="40"/>
        <w:ind w:left="283"/>
      </w:pPr>
      <w:r>
        <w:rPr>
          <w:rFonts w:ascii="Calibri" w:hAnsi="Calibri"/>
          <w:b/>
          <w:color w:val="4A6B25"/>
          <w:sz w:val="20"/>
        </w:rPr>
        <w:t xml:space="preserve">2. </w:t>
      </w:r>
      <w:r>
        <w:rPr>
          <w:rFonts w:ascii="Calibri" w:hAnsi="Calibri"/>
          <w:b w:val="0"/>
          <w:color w:val="3A4A28"/>
          <w:sz w:val="20"/>
        </w:rPr>
        <w:t>Pending or potential class action litigation related to the FTX-6058 / pociredir safety disclosure failures could result in material settlements that reduce the cash position below current per-share levels</w:t>
      </w:r>
    </w:p>
    <w:p>
      <w:pPr>
        <w:spacing w:before="40" w:after="40"/>
        <w:ind w:left="283"/>
      </w:pPr>
      <w:r>
        <w:rPr>
          <w:rFonts w:ascii="Calibri" w:hAnsi="Calibri"/>
          <w:b/>
          <w:color w:val="4A6B25"/>
          <w:sz w:val="20"/>
        </w:rPr>
        <w:t xml:space="preserve">3. </w:t>
      </w:r>
      <w:r>
        <w:rPr>
          <w:rFonts w:ascii="Calibri" w:hAnsi="Calibri"/>
          <w:b w:val="0"/>
          <w:color w:val="3A4A28"/>
          <w:sz w:val="20"/>
        </w:rPr>
        <w:t>Reverse merger with a low-quality private company could deploy the $318.8M cash position into a poor business, destroying shareholder value rather than returning cash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Scored on the basis of Fulcrum's historical business model (clinical-stage drug development), since the company is currently in wind-down mode. Pharmaceutical drug development involves complex biological mechanisms, multi-year clinical trial processes, stringent FDA regulatory requirements, and patient safety monitoring that AI cannot substitute [5]. Clinical trials require physical enrollment of patients, biological sample collection, and long-term safety follow-up that are inherently human processes. However, AI is rapidly advancing in drug discovery — AI-driven target identification, compound screening, and clinical trial optimization are increasingly used by competitors, meaning AI accelerates the pace of competition rather than eliminating the need for drug development itself. Score reflects protected but not immune status. AI Opportunity (0/1): No AI-related revenue or AI-powered drug discovery capabilities. The company never deployed AI in its discovery or development platform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Fulcrum Therapeutics Q1 2026 Financial Results — GlobeNewsWire, April 27,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FULC Statistics and Valuation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Fulcrum Therapeutics Discontinues Pociredir and Initiates Strategic Review — FierceBiotech/BioPharma Dive, June 2026</w:t>
      </w:r>
    </w:p>
    <w:p>
      <w:pPr>
        <w:spacing w:before="20" w:after="20"/>
        <w:ind w:left="170"/>
      </w:pPr>
      <w:r>
        <w:rPr>
          <w:rFonts w:ascii="Calibri" w:hAnsi="Calibri"/>
          <w:b/>
          <w:color w:val="4A6B25"/>
          <w:sz w:val="15"/>
        </w:rPr>
        <w:t xml:space="preserve">4. </w:t>
      </w:r>
      <w:r>
        <w:rPr>
          <w:rFonts w:ascii="Calibri" w:hAnsi="Calibri"/>
          <w:b w:val="0"/>
          <w:color w:val="3A4A28"/>
          <w:sz w:val="17"/>
        </w:rPr>
        <w:t>Sanofi-Fulcrum Losmapimod Phase 3 Failure — FierceBiotech, 2024</w:t>
      </w:r>
    </w:p>
    <w:p>
      <w:pPr>
        <w:spacing w:before="20" w:after="20"/>
        <w:ind w:left="170"/>
      </w:pPr>
      <w:r>
        <w:rPr>
          <w:rFonts w:ascii="Calibri" w:hAnsi="Calibri"/>
          <w:b/>
          <w:color w:val="4A6B25"/>
          <w:sz w:val="15"/>
        </w:rPr>
        <w:t xml:space="preserve">5. </w:t>
      </w:r>
      <w:r>
        <w:rPr>
          <w:rFonts w:ascii="Calibri" w:hAnsi="Calibri"/>
          <w:b w:val="0"/>
          <w:color w:val="3A4A28"/>
          <w:sz w:val="17"/>
        </w:rPr>
        <w:t>Fulcrum Therapeutics Company Website — About and Pipeline Pages,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