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GILD</w:t>
      </w:r>
      <w:r>
        <w:rPr>
          <w:rFonts w:ascii="Calibri" w:hAnsi="Calibri"/>
          <w:b/>
          <w:color w:val="1A2010"/>
          <w:sz w:val="40"/>
        </w:rPr>
        <w:t xml:space="preserve">  Gilead Sciences, Inc.</w:t>
      </w:r>
    </w:p>
    <w:p>
      <w:pPr>
        <w:spacing w:after="120"/>
      </w:pPr>
      <w:r>
        <w:rPr>
          <w:rFonts w:ascii="Calibri" w:hAnsi="Calibri"/>
          <w:b/>
          <w:color w:val="6E8450"/>
          <w:sz w:val="18"/>
        </w:rPr>
        <w:t>DIVIDEND SLEEVE · 2026-08-22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Gilead Sciences is a global biopharmaceutical company focused on HIV, liver diseases, oncology, and inflammation. The company dominates the HIV treatment market with Biktarvy (growing 7% YoY to $3.4B quarterly revenue) and is expanding into HIV prevention with lenacapavir, while building an oncology franchise through Trodelvy and cell therapy acquisitions (Arcellx, Ouro, Tubulis). Q2 2026 total revenue grew 10% YoY to $7.8B, with base business (ex-Veklury) growing 10% and HIV sales up 12%. Management raised full-year 2026 revenue guidance to $30.2B, though GAAP EPS was reduced by approximately $9.50 due to $11.5B in anticipated IPR&amp;D charges from acquisitions.</w:t>
      </w:r>
    </w:p>
    <w:p>
      <w:r>
        <w:rPr>
          <w:rFonts w:ascii="Calibri" w:hAnsi="Calibri"/>
          <w:b/>
          <w:color w:val="6E8450"/>
          <w:sz w:val="18"/>
        </w:rPr>
        <w:t>18,000 Employees · https://www.gilead.com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Gilead has executed multiple successful product launches and strategic pivots in the last five years, including Biktarvy's rise to HIV treatment dominance ($13.6B+ annual run rate), the launch of lenacapavir (Sunlenca) as a twice-yearly HIV prevention injection, Trodelvy's expansion in oncology, and Livdelzi for primary biliary cholangitis [1]. The company successfully navigated the Veklury (remdesivir) post-pandemic revenue decline by accelerating its core HIV and oncology businesses. AI Deployment (1/2): Gilead has invested significantly in AI-driven drug discovery and precision medicine, with analysts citing a 'defensible lead' in AI-driven biopharmaceutical development through the combination of proprietary datasets, substantial capital, and a rich pipeline of scientific challenges [2]. CEO Daniel O'Day has publicly emphasized AI as central to Gilead's R&amp;D strategy. Market Share (2/2): Gilead holds dominant market share in HIV treatment, with Biktarvy commanding approximately 80%+ of new HIV prescriptions in the U.S., and lenacapavir is establishing leadership in the PrEP (pre-exposure prophylaxis) market [1]. The company's HIV franchise grew 12% YoY in Q2 2026, demonstrating continued share gains even in a mature category. Product Pipeline (2/2): Gilead's pipeline is among the strongest in biopharma, with three major acquisitions in 2026 alone — Arcellx (cell therapy), Ouro, and Tubulis — adding $11.5B in IPR&amp;D charges that reflect substantial pipeline value [2]. Lenacapavir's expansion into PrEP, Trodelvy's label expansions in oncology, and cell therapy programs provide multi-year growth catalysts with specific clinical timelines. R&amp;D Intensity (1/1): Gilead's R&amp;D spending exceeds 20% of revenue, well above the biopharma industry average, reflecting massive investment in virology, oncology, and cell therapy research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Gilead's mission of creating 'a healthier world for all people' is clear and connects the company's work to a genuine social purpose — its HIV medications have saved millions of lives and transformed the treatment landscape [2]. However, the mission is undercut by significant drug pricing controversies: Gilead doubled the price of its HIV prevention drug from $445 to $988 between 2020 and 2022, and the AIDS Healthcare Foundation alleges that Gilead benefits from taxpayer-funded research while limiting affordable access in developing countries [3]. Community Impact (1/2): The Gilead Foundation supports community health programs, though charitable donations were reduced 59% from $212M in 2021 to $85M in 2022, raising questions about the company's commitment to community investment beyond its core commercial operations [3]. Employee Retention (1/2): Gilead's Fortune article on leadership energy management and Daniel O'Day's Columbia Business School leadership feature suggest a thoughtful leadership culture, and the company has maintained relatively stable employment levels, though specific retention metrics are not publicly available [2]. Insider Buying (0/2): No evidence of meaningful net insider buying by executives was identified during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Gilead demonstrates exceptional profitability with net profit margin of 31.0% and ROE of 43.36%, both well above their respective targets, reflecting the high-margin nature of branded pharmaceutical products [4]. Forward P/E of 15.17x is below the 20x target, offering reasonable valuation for a growing biopharma franchise. D/E of 95% is above the 70% target but well-managed, scoring approximately 89% on the debt metric [4]. Revenue growth of 8% YoY (Q2 2026 base business +10%) approaches the 10% target, though the 5-year CAGR of approximately 2% is well below target, reflecting the post-pandemic Veklury revenue decline that depressed multi-year growth rates [1]. The dividend profile is solid — 10 consecutive years of growth, approximately 11 years of consecutive payments, and a sustainable 43% payout ratio — with the primary drag being a modest 5-year dividend growth CAGR of approximately 3.8%, below the 6% target [4]. The stock clears the liquidity floor with approximately $1.0B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Gilead demonstrates strong infinite game characteristics through its remarkable existential flexibility — pivoting from HCV (where it effectively cured its own market) to HIV dominance and now into oncology and cell therapy — and through bold acquisition courage. The company's cause of creating a healthier world is genuine but tested by drug pricing controversies that reveal tension between mission and financial optimization. The $11.5B in acquisition IPR&amp;D charges represent a massive bet on long-term capability over short-term earnings, classic infinite game behavior.</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Gilead's purpose of creating 'a healthier world for all people' is genuine and has been validated by the company's transformative impact on HIV and HCV treatment — its medications have saved millions of lives and fundamentally changed the trajectory of the HIV epidemic [2]. The mission has shaped strategic decisions including the expansion into oncology and cell therapy. However, the drug pricing controversy — doubling HIV prevention drug costs while benefiting from taxpayer-funded research — and the 59% reduction in Gilead Foundation giving create a gap between stated purpose and lived practice that prevents a score of 3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Daniel O'Day's leadership philosophy emphasizes scientific excellence and long-term thinking, as evidenced by his Columbia Business School leadership feature and Fortune energy management article [2]. Gilead maintains relatively stable employment and has a reputation for scientific culture. However, no specific evidence of psychological safety practices, employee empowerment programs, or trust-building initiatives beyond standard biopharma corporate culture was identified.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Gilead's leadership publicly acknowledging what competitors like AbbVie, Merck, or Bristol-Myers Squibb do better, or framing competition as motivation for self-improvement. The company's competitive language focuses on its own franchise strengths and pipeline rather than learning from rival capabilities. However, Gilead's willingness to acquire external innovation (Arcellx, Ouro, Tubulis) implicitly acknowledges that breakthrough capabilities sometimes reside outside the organization.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Gilead is one of the strongest examples of existential flexibility in biopharma. The company's HCV franchise (Sovaldi, Harvoni) generated $20B+ at peak but then declined sharply as Gilead's own drugs effectively cured hepatitis C — the company literally cured its own market [1]. Rather than clinging to a shrinking franchise, Gilead pivoted aggressively into HIV (Biktarvy, lenacapavir), oncology (Trodelvy, cell therapy), and inflammation, spending $11.5B on acquisitions in 2026 alone to build the next generation of growth [2]. This pattern of reinvention — from HCV to HIV to oncology — demonstrates repeated willingness to abandon what is working in service of long-term capability.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Gilead's $11.5B in IPR&amp;D charges from the Arcellx, Ouro, and Tubulis acquisitions in 2026 represent one of the boldest capital allocation decisions in recent biopharma history, deliberately accepting massive near-term GAAP earnings destruction (reducing full-year EPS guidance by approximately $9.50) to build long-term cell therapy and oncology capabilities [2]. This is precisely the kind of costly long-term bet Sinek values — sacrificing quarterly results for multi-decade competitive positioning. The development of lenacapavir as a twice-yearly injection required years of R&amp;D investment with uncertain outcomes, and its success in both treatment and PrEP validates the courage of that bet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Gilead at 15.17x forward earnings with a PEG of 0.34 offers one of the most attractive risk-reward profiles in large-cap biopharma, combining a dominant HIV franchise (Biktarvy at $13.6B+ run rate, growing 7% YoY) with accelerating growth vectors in lenacapavir PrEP, Trodelvy oncology, and Livdelzi [1]. Q2 2026 revenue of $7.8B (+10% YoY) with HIV up 12% demonstrates the core business is accelerating, while management raised full-year guidance to $30.2B [1]. The $11.5B in acquisition IPR&amp;D charges are a one-time GAAP hit that masks genuine operating strength — excluding these charges, non-GAAP earnings growth continues at mid-teens rates [2]. The 2.46% dividend yield with 10 consecutive years of growth and a sustainable 43% payout ratio provides a defensive income floor, while the 31% net profit margin and 43% ROE reflect the premium economics of branded pharmaceuticals [4].</w:t>
      </w:r>
    </w:p>
    <w:p>
      <w:pPr>
        <w:spacing w:after="120"/>
      </w:pPr>
      <w:r>
        <w:rPr>
          <w:rFonts w:ascii="Calibri" w:hAnsi="Calibri"/>
          <w:b w:val="0"/>
          <w:color w:val="3A4A28"/>
          <w:sz w:val="20"/>
        </w:rPr>
        <w:t>The bear case centers on acquisition integration risk, drug pricing exposure, and patent cliff concentration. The $11.5B in IPR&amp;D charges from Arcellx, Ouro, and Tubulis acquisitions represent enormous execution risk — cell therapy is technically challenging, commercially uncertain, and historically prone to manufacturing and safety complications [2]. Gilead's revenue concentration in HIV (approximately 70% of revenue) creates patent cliff exposure, with Biktarvy's patent protection expiring in the late 2020s to early 2030s — generic competition could compress HIV revenue significantly. Drug pricing remains a persistent political and regulatory risk, with the AIDS Healthcare Foundation actively campaigning against Gilead's pricing practices and the Inflation Reduction Act enabling Medicare price negotiation [3]. The 5-year revenue CAGR of only 2% reflects the post-pandemic Veklury decline and masks the true growth trajectory, but also highlights the company's vulnerability to franchise transitions. The Inspire Impact Score of -67 (MISALIGNED) will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Lenacapavir PrEP expansion represents a potential multi-billion dollar opportunity — a twice-yearly injection for HIV prevention could transform the PrEP market from daily pill regimens, with HIV sales already growing 12% YoY in Q2 2026 [1]</w:t>
      </w:r>
    </w:p>
    <w:p>
      <w:pPr>
        <w:spacing w:before="40" w:after="40"/>
        <w:ind w:left="283"/>
      </w:pPr>
      <w:r>
        <w:rPr>
          <w:rFonts w:ascii="Calibri" w:hAnsi="Calibri"/>
          <w:b/>
          <w:color w:val="4A6B25"/>
          <w:sz w:val="20"/>
        </w:rPr>
        <w:t xml:space="preserve">2. </w:t>
      </w:r>
      <w:r>
        <w:rPr>
          <w:rFonts w:ascii="Calibri" w:hAnsi="Calibri"/>
          <w:b w:val="0"/>
          <w:color w:val="3A4A28"/>
          <w:sz w:val="20"/>
        </w:rPr>
        <w:t>Cell therapy pipeline from Arcellx, Ouro, and Tubulis acquisitions ($11.5B IPR&amp;D) positions Gilead as a leader in next-generation oncology, with specific clinical programs in hematologic malignancies [2]</w:t>
      </w:r>
    </w:p>
    <w:p>
      <w:pPr>
        <w:spacing w:before="40" w:after="40"/>
        <w:ind w:left="283"/>
      </w:pPr>
      <w:r>
        <w:rPr>
          <w:rFonts w:ascii="Calibri" w:hAnsi="Calibri"/>
          <w:b/>
          <w:color w:val="4A6B25"/>
          <w:sz w:val="20"/>
        </w:rPr>
        <w:t xml:space="preserve">3. </w:t>
      </w:r>
      <w:r>
        <w:rPr>
          <w:rFonts w:ascii="Calibri" w:hAnsi="Calibri"/>
          <w:b w:val="0"/>
          <w:color w:val="3A4A28"/>
          <w:sz w:val="20"/>
        </w:rPr>
        <w:t>Base business revenue growing 10% YoY with full-year 2026 guidance raised to $30.2B suggests the post-Veklury growth trough is behind the company, with Trodelvy and Livdelzi providing additional growth vectors beyond HIV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Biktarvy patent cliff concentration risk — HIV represents approximately 70% of revenue, and generic competition in the late 2020s to early 2030s could significantly compress the franchise without adequate pipeline replacement [1]</w:t>
      </w:r>
    </w:p>
    <w:p>
      <w:pPr>
        <w:spacing w:before="40" w:after="40"/>
        <w:ind w:left="283"/>
      </w:pPr>
      <w:r>
        <w:rPr>
          <w:rFonts w:ascii="Calibri" w:hAnsi="Calibri"/>
          <w:b/>
          <w:color w:val="4A6B25"/>
          <w:sz w:val="20"/>
        </w:rPr>
        <w:t xml:space="preserve">2. </w:t>
      </w:r>
      <w:r>
        <w:rPr>
          <w:rFonts w:ascii="Calibri" w:hAnsi="Calibri"/>
          <w:b w:val="0"/>
          <w:color w:val="3A4A28"/>
          <w:sz w:val="20"/>
        </w:rPr>
        <w:t>$11.5B in acquisition IPR&amp;D charges from Arcellx, Ouro, and Tubulis create massive integration and execution risk in technically challenging cell therapy, with uncertain commercial outcomes [2]</w:t>
      </w:r>
    </w:p>
    <w:p>
      <w:pPr>
        <w:spacing w:before="40" w:after="40"/>
        <w:ind w:left="283"/>
      </w:pPr>
      <w:r>
        <w:rPr>
          <w:rFonts w:ascii="Calibri" w:hAnsi="Calibri"/>
          <w:b/>
          <w:color w:val="4A6B25"/>
          <w:sz w:val="20"/>
        </w:rPr>
        <w:t xml:space="preserve">3. </w:t>
      </w:r>
      <w:r>
        <w:rPr>
          <w:rFonts w:ascii="Calibri" w:hAnsi="Calibri"/>
          <w:b w:val="0"/>
          <w:color w:val="3A4A28"/>
          <w:sz w:val="20"/>
        </w:rPr>
        <w:t>Drug pricing and access controversy persists, with the AIDS Healthcare Foundation campaigning against Gilead's pricing practices and the Inflation Reduction Act enabling Medicare price negotiation for key drugs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Gilead's core business — developing and selling patented pharmaceutical products — is structurally protected from AI disruption by regulatory barriers (FDA approval processes, clinical trial requirements), intellectual property protection, and the physical nature of drug manufacturing and distribution [1]. No AI system can substitute for the years-long process of clinical development, regulatory submission, and post-market surveillance that underpins branded drug revenue. Gilead's HIV franchise benefits from exceptionally high switching costs (patients remain on effective regimens for years or decades) and prescriber relationships built over 30+ years [1]. The primary risk vector is that AI could accelerate competitor drug development timelines, but Gilead's existing patent portfolio and first-mover advantages in key indications (Biktarvy, lenacapavir) provide substantial protection. AI Opportunity (1/1): Gilead generates AI-embedded value through its drug discovery platform, where AI-driven precision medicine and molecular modeling accelerate pipeline development — the company's $11.5B in recent acquisition IPR&amp;D charges reflect AI-enhanced pipeline valuation, and analysts describe a 'defensible lead' in AI-driven biopharma development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Gilead Sciences Q2 2026 Earnings — Revenue $7.8B (+10% YoY), HIV +12%, Biktarvy $3.4B (+7%), Full Year Guidance Raised to $30.2B, Gilead Investor Relations/BusinessWire, July 2026</w:t>
      </w:r>
    </w:p>
    <w:p>
      <w:pPr>
        <w:spacing w:before="20" w:after="20"/>
        <w:ind w:left="170"/>
      </w:pPr>
      <w:r>
        <w:rPr>
          <w:rFonts w:ascii="Calibri" w:hAnsi="Calibri"/>
          <w:b/>
          <w:color w:val="4A6B25"/>
          <w:sz w:val="15"/>
        </w:rPr>
        <w:t xml:space="preserve">2. </w:t>
      </w:r>
      <w:r>
        <w:rPr>
          <w:rFonts w:ascii="Calibri" w:hAnsi="Calibri"/>
          <w:b w:val="0"/>
          <w:color w:val="3A4A28"/>
          <w:sz w:val="17"/>
        </w:rPr>
        <w:t>Gilead Sciences AI Strategy and Acquisitions — Daniel O'Day CEO, AI Drug Discovery, Arcellx/Ouro/Tubulis Acquisitions ($11.5B IPR&amp;D), Klover.ai/Columbia Business School, 2026</w:t>
      </w:r>
    </w:p>
    <w:p>
      <w:pPr>
        <w:spacing w:before="20" w:after="20"/>
        <w:ind w:left="170"/>
      </w:pPr>
      <w:r>
        <w:rPr>
          <w:rFonts w:ascii="Calibri" w:hAnsi="Calibri"/>
          <w:b/>
          <w:color w:val="4A6B25"/>
          <w:sz w:val="15"/>
        </w:rPr>
        <w:t xml:space="preserve">3. </w:t>
      </w:r>
      <w:r>
        <w:rPr>
          <w:rFonts w:ascii="Calibri" w:hAnsi="Calibri"/>
          <w:b w:val="0"/>
          <w:color w:val="3A4A28"/>
          <w:sz w:val="17"/>
        </w:rPr>
        <w:t>Gilead Sciences Drug Pricing and ESG — HIV Drug Price Doubling, AIDS Healthcare Foundation Criticism, Foundation Giving Reduced 59%, Common Dreams/Pharmaphorum,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GILD Key Statistics: Forward P/E 15.17, ROE 43.36%, Profit Margin 31%, D/E 95%, Dividend Yield 2.46%,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