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w:t>
      </w:r>
      <w:r>
        <w:rPr>
          <w:rFonts w:ascii="Calibri" w:hAnsi="Calibri"/>
          <w:b/>
          <w:color w:val="1A2010"/>
          <w:sz w:val="40"/>
        </w:rPr>
        <w:t xml:space="preserve">  Gildan Activewear Inc.</w:t>
      </w:r>
    </w:p>
    <w:p>
      <w:pPr>
        <w:spacing w:after="120"/>
      </w:pPr>
      <w:r>
        <w:rPr>
          <w:rFonts w:ascii="Calibri" w:hAnsi="Calibri"/>
          <w:b/>
          <w:color w:val="6E8450"/>
          <w:sz w:val="18"/>
        </w:rPr>
        <w:t>GROWTH SLEEVE · 2026-08-03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Canada</w:t>
      </w:r>
    </w:p>
    <w:p>
      <w:pPr>
        <w:spacing w:after="80"/>
      </w:pPr>
      <w:r>
        <w:rPr>
          <w:rFonts w:ascii="Calibri" w:hAnsi="Calibri"/>
          <w:b w:val="0"/>
          <w:color w:val="3A4A28"/>
          <w:sz w:val="20"/>
        </w:rPr>
        <w:t>Gildan Activewear Inc. is one of the world's largest vertically integrated manufacturers of everyday basic apparel, operating from yarn production through finished garments. Following its transformative acquisition of HanesBrands in late 2025, the combined entity controls leading brands including Gildan, Hanes, Champion, Comfort Colors, Bali, and Playtex across printwear, underwear, hosiery, intimates, and activewear categories. Manufacturing operations span company-owned facilities in Honduras, Nicaragua, Dominican Republic, Bangladesh, and other locations. Headquartered in Montreal, Canada.</w:t>
      </w:r>
    </w:p>
    <w:p>
      <w:r>
        <w:rPr>
          <w:rFonts w:ascii="Calibri" w:hAnsi="Calibri"/>
          <w:b/>
          <w:color w:val="6E8450"/>
          <w:sz w:val="18"/>
        </w:rPr>
        <w:t>80,000 Employees · https://gildancorp.com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Gildan completed its transformative acquisition of HanesBrands in late 2025, approximately doubling revenue to a guided $6.0-6.2B for FY2026 [1]. Co-founder Glenn Chamandy's return via proxy fight in 2024 and immediate pursuit of this industry-consolidating deal represents a major strategic transformation, though the core business model — apparel manufacturing and distribution — remains fundamentally the same. AI Deployment (0/2): No AI-powered products or quantified AI-driven efficiencies reported; innovation focuses on manufacturing processes such as Plasma Print Technology for enhanced garment printing [3]. Market Share (2/2): The combined Gildan-HanesBrands entity controls #1 or #2 positions in multiple basic apparel categories: Hanes leads U.S. underwear, Gildan dominates North American printwear, Champion holds significant activewear share, and the combined company commands leading positions across hosiery and intimates [1]. Pipeline (0/2): No specific next-generation products with launch timelines and revenue visibility identified beyond manufacturing process innovations. R&amp;D Intensity (0/1): As a vertically integrated apparel manufacturer, R&amp;D spending focuses on manufacturing process optimization rather than product R&amp;D, below average for technology-intensive sectors.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Gildan's corporate purpose centers on 'Making Apparel Better' through responsible, vertically integrated manufacturing from raw materials to finished goods [4]. The vision identifies a meaningful operational philosophy connecting manufacturing scale to environmental responsibility, but does not articulate a transformative societal purpose and is largely interchangeable with responsible manufacturing peers. Community Impact (2/2): Gildan has published ESG reports for 21 consecutive years with specific measurable achievements: reducing water intensity by 25.2% per kilogram produced versus 2018 baseline, increasing sustainable cotton sourcing from 35.7% to 77.3% in 2024, doubling recycled polyester sourcing, and earning 12 consecutive years on the Dow Jones Best-in-Class North America Index [4]. Sustainability-linked terms are embedded in the company's credit facility with CEO compensation tied to ESG targets. Employee Retention (1/2): CEO Glenn Chamandy's ~20-year tenure as co-founder provides exceptional leadership continuity. Glassdoor management rating of 4.5/5 and culture/values rating of 3.9 suggest above-average employee sentiment across the 80,000-person workforce [3]. Insider Buying (0/2): No evidence of meaningful net insider purchases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Forward PEG excluded (unavailable). D/E of 147% reflects HanesBrands acquisition financing, scoring 0.67 versus the 70% target [5]. ROE of 10.6% is temporarily depressed by acquisition goodwill diluting the equity base, scoring 0.70 at 2x weight [5]. Revenue growth of 72.3% YoY in Q2 2026 exceeds the 10% target, scoring 1.0 at 1x weight [1]. Estimated 5-year revenue CAGR of approximately 14% exceeds the 10% target, scoring 1.0 at 2x weight. Forward P/E of 11.0 is well below the 20 target, scoring 1.0 [5]. Profit margin of 14.1% scores 0.71 versus the 20% target [5]. Weighted sum of 6.78 across 8 weight units yields score of 8. Q2 2026 adjusted diluted EPS of $1.28 beat the $1.12 consensus, and full-year guidance was updated to $6.0-6.2B revenue [1]. Liquidity ample with ~1.5M shares/day at ~$53/share ($79.5M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Gildan demonstrates mixed infinite game characteristics. Co-founder Chamandy's return via proxy fight and immediate pursuit of the transformative HanesBrands acquisition show exceptional courage and conviction, but the company's purpose remains anchored in operational excellence rather than a transformative Just Cause. The 21-year track record of ESG reporting and vertical integration model suggest long-term thinking, but competitive language emphasizing market consolidation and shareholder returns reflects finite framing consistent with playing to win rather than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Gildan's purpose of 'Making Apparel Better' through responsible, vertically integrated manufacturing is genuine but reads as an operational philosophy rather than a Just Cause in Sinek's terms [4]. It describes how the company works, not a vision of a future worth sacrificing for. The 21 years of ESG reporting and DJSI inclusion demonstrate consistency, but strategic decisions (HanesBrands acquisition, proxy fight) were driven by competitive positioning and shareholder value rather than cause advancement [1]. The purpose is tied to the current business model rather than a transcendent ideal.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Chamandy's ~20-year tenure and co-founder status create leadership continuity, and Glassdoor management ratings of 4.5/5 suggest above-average employee sentiment [3]. The company's ESG-linked executive compensation and 21-year sustainability commitment signal attention to workforce welfare [4]. However, the 2023 board decision to oust Chamandy (later reversed via proxy fight) and subsequent executive leadership changes including CFO transition reveal governance instability that disrupted trust at the board level. With 80,000 employees across manufacturing facilities in developing nations, maintaining consistent trust culture is a structural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Gildan's competitive narrative focuses on market share dominance and low-cost manufacturing advantages. The HanesBrands acquisition was framed as consolidating market leadership and capturing cost synergies rather than learning from a rival's strengths [1]. No evidence of management commentary referencing competitors like Fruit of the Loom or private-label manufacturers as worthy rivals whose capabilities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HanesBrands acquisition marks significant strategic evolution — Gildan expanded from a printwear-focused wholesale manufacturer into a diversified consumer brands company controlling Hanes, Champion, and household names across underwear, intimates, and activewear [1]. This represents meaningful business model expansion into branded retail channels and direct-to-consumer distribution. However, the core capability remains the same (textile manufacturing and distribution), and the move was additive rather than transformative — Gildan did not abandon its core business to pursue a fundamentally different direction.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Glenn Chamandy's return to CEO via a contested proxy fight in 2024 — fighting his own board and winning shareholder support — demonstrated exceptional personal courage and conviction in his vision for Gildan [3]. He then immediately pursued the transformative HanesBrands acquisition, taking on significant leverage (D/E rising to 147%) to fundamentally reshape the company during industry uncertainty [1]. The pattern of costly, risky bets — fighting institutional resistance at personal reputational risk, then executing the largest basic apparel M&amp;A deal in years — meets Sinek's standard for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Gildan reported Q2 2026 revenue of $1.58B (up 72.3% YoY) with adjusted diluted EPS of $1.28, beating the $1.12 consensus, and updated full-year 2026 guidance to $6.0-6.2B in revenue reflecting the combined Gildan-HanesBrands platform [1]. The company also announced the strategic divestiture of HanesBrands Australia, signaling disciplined portfolio management. At 11.0x forward earnings, the valuation is compelling for a company with #1 or #2 positions in multiple essential apparel categories, vertically integrated low-cost manufacturing, and significant integration synergies yet to be realized. The payout ratio of approximately 18% provides ample room for debt reduction from the current 147% D/E ratio while maintaining the dividend. Gildan's 21-year ESG track record, 12 years on the DJSI, and co-founder CEO alignment create a durable franchise with clear catalysts from integration synergy capture [4][5].</w:t>
      </w:r>
    </w:p>
    <w:p>
      <w:pPr>
        <w:spacing w:after="120"/>
      </w:pPr>
      <w:r>
        <w:rPr>
          <w:rFonts w:ascii="Calibri" w:hAnsi="Calibri"/>
          <w:b w:val="0"/>
          <w:color w:val="3A4A28"/>
          <w:sz w:val="20"/>
        </w:rPr>
        <w:t>The bear case centers on acquisition integration risk and leverage: the 147% D/E ratio reflects significant acquisition financing that must be deleveraged over 2-3 years, limiting financial flexibility and increasing vulnerability to demand downturns [5]. ROE of 10.6% is temporarily depressed by acquisition goodwill and may take multiple quarters to normalize toward Gildan's historical 20%+ levels. The 72.3% revenue growth is entirely acquisition-driven — organic growth for the legacy Gildan business was low single digits, and HanesBrands brands were declining in revenue under prior management. Profit margin of 14.1% is solid for apparel but below the 20% target, and could face pressure from rising cotton costs, labor inflation in Central America, or tariff exposure on imported goods. The 2023 CEO ousting and subsequent board upheaval revealed governance dysfunction that could resurface. The pending HanesBrands Australia divestiture suggests the acquisition included non-core assets requiring further strategic cleanup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HanesBrands integration synergies expected to generate $150-200M+ in annual cost savings as Gildan consolidates manufacturing, supply chain, and administrative functions across the combined 80,000-employee platform</w:t>
      </w:r>
    </w:p>
    <w:p>
      <w:pPr>
        <w:spacing w:before="40" w:after="40"/>
        <w:ind w:left="283"/>
      </w:pPr>
      <w:r>
        <w:rPr>
          <w:rFonts w:ascii="Calibri" w:hAnsi="Calibri"/>
          <w:b/>
          <w:color w:val="4A6B25"/>
          <w:sz w:val="20"/>
        </w:rPr>
        <w:t xml:space="preserve">2. </w:t>
      </w:r>
      <w:r>
        <w:rPr>
          <w:rFonts w:ascii="Calibri" w:hAnsi="Calibri"/>
          <w:b w:val="0"/>
          <w:color w:val="3A4A28"/>
          <w:sz w:val="20"/>
        </w:rPr>
        <w:t>Deleveraging from 147% D/E toward Gildan's historical sub-100% levels through strong free cash flow generation, potentially unlocking ROE recovery to 20%+ and expanded capital returns within 18-24 months</w:t>
      </w:r>
    </w:p>
    <w:p>
      <w:pPr>
        <w:spacing w:before="40" w:after="40"/>
        <w:ind w:left="283"/>
      </w:pPr>
      <w:r>
        <w:rPr>
          <w:rFonts w:ascii="Calibri" w:hAnsi="Calibri"/>
          <w:b/>
          <w:color w:val="4A6B25"/>
          <w:sz w:val="20"/>
        </w:rPr>
        <w:t xml:space="preserve">3. </w:t>
      </w:r>
      <w:r>
        <w:rPr>
          <w:rFonts w:ascii="Calibri" w:hAnsi="Calibri"/>
          <w:b w:val="0"/>
          <w:color w:val="3A4A28"/>
          <w:sz w:val="20"/>
        </w:rPr>
        <w:t>Champion brand revitalization under Gildan's operational discipline — Champion carries significant global brand equity that was undermonetized under HanesBrands management, with margin expansion potential in premium activewear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complexity across two 40,000+ employee organizations with different cultures, systems, and distribution channels across dozens of countries could delay synergy realization and compress margins for 12-18 months</w:t>
      </w:r>
    </w:p>
    <w:p>
      <w:pPr>
        <w:spacing w:before="40" w:after="40"/>
        <w:ind w:left="283"/>
      </w:pPr>
      <w:r>
        <w:rPr>
          <w:rFonts w:ascii="Calibri" w:hAnsi="Calibri"/>
          <w:b/>
          <w:color w:val="4A6B25"/>
          <w:sz w:val="20"/>
        </w:rPr>
        <w:t xml:space="preserve">2. </w:t>
      </w:r>
      <w:r>
        <w:rPr>
          <w:rFonts w:ascii="Calibri" w:hAnsi="Calibri"/>
          <w:b w:val="0"/>
          <w:color w:val="3A4A28"/>
          <w:sz w:val="20"/>
        </w:rPr>
        <w:t>Consumer spending deceleration in basic apparel categories as inflation and potential recession reduce discretionary spending on underwear, socks, and activewear upgrades, pressuring pricing on value-oriented brands like Hanes</w:t>
      </w:r>
    </w:p>
    <w:p>
      <w:pPr>
        <w:spacing w:before="40" w:after="40"/>
        <w:ind w:left="283"/>
      </w:pPr>
      <w:r>
        <w:rPr>
          <w:rFonts w:ascii="Calibri" w:hAnsi="Calibri"/>
          <w:b/>
          <w:color w:val="4A6B25"/>
          <w:sz w:val="20"/>
        </w:rPr>
        <w:t xml:space="preserve">3. </w:t>
      </w:r>
      <w:r>
        <w:rPr>
          <w:rFonts w:ascii="Calibri" w:hAnsi="Calibri"/>
          <w:b w:val="0"/>
          <w:color w:val="3A4A28"/>
          <w:sz w:val="20"/>
        </w:rPr>
        <w:t>Cotton price volatility and labor cost inflation in Central American and Bangladeshi manufacturing facilities could compress profit margins below the current 14.1%, particularly if tariff uncertainty increases input costs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Gildan's core business is the physical manufacturing of textile products — yarn spinning, knitting, dyeing, cutting, and sewing — in company-owned factories across Central America, the Caribbean, and Asia [1]. AI structurally cannot displace the physical production of apparel. The competitive moat rests on scale-driven manufacturing cost advantages and vertically integrated supply chain control from raw cotton to finished garments, neither of which faces AI substitution risk. The wholesale printwear market (blank t-shirts, fleece) may benefit as AI-powered design tools and print-on-demand services increase demand for blank apparel substrates. Consumer brands (Hanes, Champion) face minimal AI disruption since basic apparel purchasing decisions are driven by price, fit, and comfort rather than information services susceptible to AI replacement [3]. No analysts have flagged AI as a disruption risk for basic apparel manufacturing. AI Opportunity (0/1): Gildan does not generate meaningful revenue from AI products or services; operational AI tools are for internal supply chain optimization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Gildan Q2 2026 Earnings Release — $1.58B Revenue (72.3% YoY Growth), Updated Full Year Guidance $6.0-6.2B, HanesBrands Australia Divestiture, GlobeNewsWire, July 30, 2026</w:t>
      </w:r>
    </w:p>
    <w:p>
      <w:pPr>
        <w:spacing w:before="20" w:after="20"/>
        <w:ind w:left="170"/>
      </w:pPr>
      <w:r>
        <w:rPr>
          <w:rFonts w:ascii="Calibri" w:hAnsi="Calibri"/>
          <w:b/>
          <w:color w:val="4A6B25"/>
          <w:sz w:val="15"/>
        </w:rPr>
        <w:t xml:space="preserve">2. </w:t>
      </w:r>
      <w:r>
        <w:rPr>
          <w:rFonts w:ascii="Calibri" w:hAnsi="Calibri"/>
          <w:b w:val="0"/>
          <w:color w:val="3A4A28"/>
          <w:sz w:val="17"/>
        </w:rPr>
        <w:t>Gildan Q1 2026 Earnings Call Transcript — $1.17B Revenue (63.8% YoY Growth), Adjusted EPS $0.43,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Gildan Leadership, Culture, and Employee Sentiment — GildanCorp.com, Glassdoor, Nasdaq Executive Announcements,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Gildan 2024 ESG Report — 21st Annual Report, 12 Years DJSI, Water Intensity -25.2%, Sustainable Cotton 77.3%, GlobeNewsWire, May 2025</w:t>
      </w:r>
    </w:p>
    <w:p>
      <w:pPr>
        <w:spacing w:before="20" w:after="20"/>
        <w:ind w:left="170"/>
      </w:pPr>
      <w:r>
        <w:rPr>
          <w:rFonts w:ascii="Calibri" w:hAnsi="Calibri"/>
          <w:b/>
          <w:color w:val="4A6B25"/>
          <w:sz w:val="15"/>
        </w:rPr>
        <w:t xml:space="preserve">5. </w:t>
      </w:r>
      <w:r>
        <w:rPr>
          <w:rFonts w:ascii="Calibri" w:hAnsi="Calibri"/>
          <w:b w:val="0"/>
          <w:color w:val="3A4A28"/>
          <w:sz w:val="17"/>
        </w:rPr>
        <w:t>Gildan Activewear (GIL) Financial Statistics — StockAnalysis.com,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