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GSBD</w:t>
      </w:r>
      <w:r>
        <w:rPr>
          <w:rFonts w:ascii="Calibri" w:hAnsi="Calibri"/>
          <w:b/>
          <w:color w:val="1A2010"/>
          <w:sz w:val="40"/>
        </w:rPr>
        <w:t xml:space="preserve">  Goldman Sachs BDC,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2026-07-26 · Inspire: 12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Goldman Sachs BDC is a business development company specializing in middle market lending, originating secured and unsecured debt investments in private companies with EBITDA of $5-75 million. Externally managed by Goldman Sachs Asset Management. The fund is actively rotating its portfolio away from legacy positions and AI-exposed software/ARR borrowers, with newer originations comprising 58% of the portfolio.</w:t>
      </w:r>
    </w:p>
    <w:p>
      <w:r>
        <w:rPr>
          <w:rFonts w:ascii="Calibri" w:hAnsi="Calibri"/>
          <w:b/>
          <w:color w:val="6E8450"/>
          <w:sz w:val="18"/>
        </w:rPr>
        <w:t>https://www.goldmansachsbdc.com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GSBD merged with Goldman Sachs Middle Market Lending Corp. II in 2020 for scale, and is executing a deliberate portfolio rotation — cutting ARR/software lending exposure from 39% to 11% while increasing newer originations to 58% of the portfolio [1]. This is strategic repositioning rather than product innovation. AI Deployment (1/2): GSBD launched a formal 'AI disruption underwriting framework' to evaluate borrower vulnerability to AI substitution risk, a distinctive risk management innovation among BDCs [2]. This framework directly contributed to the ARR portfolio reduction. Market Share (1/2): GSBD manages a $3.5B portfolio backed by the Goldman Sachs origination platform and brand, providing differentiated deal flow access, though it is not the largest BDC (Ares Capital is significantly larger) [1]. Pipeline (0/2): No product pipeline applicable to a BDC structure. R&amp;D Intensity (0/1): BDCs do not invest in R&amp;D; the business model is financial intermediation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GSBD's purpose is providing capital to middle market companies — a functional description of its business model with no articulated higher purpose or vision beyond generating income for shareholders [3]. Community Impact (1/2): As a middle market lender, GSBD provides growth capital to ~170 portfolio companies that may lack access to public markets, supporting economic activity and employment. This creates indirect community value through capital provision to the middle market [1]. Employee Retention (1/2): GSBD is externally managed by GSAM with no direct employees. The management team led by co-CEO Vivek Bantwal benefits from Goldman Sachs' institutional infrastructure and talent pipeline, providing stability despite the co-CEO transition in August 2025 [2]. Insider Buying (0/2): No meaningful net insider buying by fund officers identified; the 0.77x price/NAV discount suggests the market does not share management's confidence in the portfolio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Q1 2026 was deeply troubled — NII per share of $0.22 missed consensus by 24%, declining from $0.37 in Q4 2025, while revenue fell to $78.8M from $86.1M as base rate declines and spread compression eroded income [1]. NAV per share declined 3.7% in one quarter to $12.17 from $12.64, driven by realized and unrealized losses [1]. The payout ratio surged to 145% ($0.32 dividend vs $0.22 NII) — unsustainable without NAV destruction. D/E of 132% is moderate for a BDC within regulatory limits (score 0.73). Forward P/E of ~8x scores well, and profit margin of ~31% (NII/revenue) scores at target. Revenue declined ~17% YoY as rates fell. The 12 consecutive years of dividend payments (since 2013 IPO) is the sole strong metric (2x weight, score 1.0), but consecutive growth is 0 after the 2025 cut from $0.45 to $0.32, and 5yr dividend CAGR is -6.6% [4]. Liquidity passes: 1.0M avg volume x $9.34 = $9.3M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GSBD operates with predominantly finite game characteristics. The externally managed BDC structure creates inherent conflicts between GSAM management fees and shareholder returns. The unsustainable 145% payout ratio — maintaining a $0.32 dividend that NII does not cover — prioritizes short-term income satisfaction over long-term NAV preservation. The co-CEO transition and portfolio rotation show some strategic adaptation, but the vehicle is fundamentally designed to distribute income, not advance a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GSBD has no Just Cause beyond providing capital to middle market companies and generating income for shareholders [3]. This is a functional business description, not an idealistic vision. The external management structure means GSBD's identity is derivative of Goldman Sachs rather than independently purposeful. Sinek would see this as a classic finite player — existing to hit quarterly NII targets and maintain distributions.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As an externally managed BDC with no direct employees, GSBD's 'team' is the Goldman Sachs Private Credit group within GSAM [2]. The platform benefits from Goldman's institutional culture, stable leadership bench, and deep origination capabilities. The co-CEO transition to Vivek Bantwal in August 2025 was orderly. However, the external management fee structure creates a structural trust deficit — GSAM earns fees on gross assets regardless of shareholder returns, misaligning incentives.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GSBD competes in an increasingly crowded BDC and private credit market against Ares Capital, Blue Owl, and other direct lenders [1]. Management commentary emphasizes the Goldman Sachs platform advantage and origination capabilities rather than learning from competitors' strengths. The competitive language is about deploying capital and maintaining deal flow, a finite mindset focused on market position.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GSBD has demonstrated meaningful portfolio transformation — cutting ARR/software exposure from 39% to 11%, increasing newer originations to 58% of the portfolio, and launching an AI disruption underwriting framework [2]. The deliberate rotation away from legacy positions toward the broader Goldman Sachs private credit platform shows strategic adaptability. However, the BDC regulatory structure fundamentally limits flexibility — the company must distribute 90%+ of income and maintain leverage limits.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2025 dividend reduction from $0.45 to $0.32 per quarter showed willingness to right-size distributions rather than continue destroying NAV [1]. The aggressive portfolio rotation away from software/ARR borrowers despite realized losses demonstrates conviction in long-term credit quality over short-term NAV stability. However, maintaining the $0.32 dividend at a 145% payout ratio when Q1 NII was only $0.22 suggests the right-sizing may not be complete.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Goldman Sachs BDC offers a 15.9% dividend yield at $9.34, trading at a 23% discount to NAV of $12.17, backed by Goldman Sachs' institutional private credit platform [1][4]. The forward P/E of ~8x and profit margin of ~31% reflect the BDC model's embedded leverage and income generation. Management is actively repositioning the portfolio — ARR/software exposure cut from 39% to 11%, newer originations now 58% of the portfolio — reducing exposure to AI-disrupted borrowers [2]. The AI disruption underwriting framework is a distinctive risk management innovation. If base rates stabilize and the portfolio rotation reduces non-accruals from the current 3.2%/4.7% level, the deep NAV discount could narrow significantly. The Goldman Sachs brand provides differentiated deal flow and underwriting capability that smaller BDCs cannot replicate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worsening. Q1 2026 NII of $0.22/share missed consensus by 24% and declined 40% from Q4 2025's $0.37, with revenue falling to $78.8M from $86.1M as rate declines and spread compression eroded income [1]. The payout ratio surged to 145% — the $0.32 quarterly dividend dramatically exceeds NII, and another dividend cut appears probable. NAV declined 3.7% in one quarter to $12.17, with 11 portfolio companies on non-accrual (3.2% at fair value, 4.7% at amortized cost) [1]. Bank of America downgraded to Underperform citing 'limited levers to offset credit performance that has lagged peers,' and Fitch shifted the outlook to negative citing 'higher leverage, elevated non-accruals, realized losses and continued payment-in-kind income' [3]. The external management fee structure creates a structural conflict — GSAM earns base management fees on gross assets regardless of shareholder returns. The 99% legacy concentration of non-accruals means the portfolio rotation is working, but workout losses from the remaining 42% legacy book could continue eroding NAV.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Portfolio rotation completion — newer originations already at 58%, with ARR/software cut from 39% to 11%, should reduce non-accruals as legacy positions work through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Federal Reserve rate stabilization supporting NII recovery from the Q1 2026 trough of $0.22/share, improving dividend coverage toward sustainable levels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23% discount to NAV of $12.17 creates potential upside if credit performance improves and the market re-rates GSBD closer to book value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Q1 2026 payout ratio of 145% is unsustainable — NII of $0.22/share vs $0.32 dividend signals another dividend cut is probable, which would further depress the stock price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NAV declined 3.7% in one quarter to $12.17 with 11 portfolio companies on non-accrual (4.7% at amortized cost), and BofA/Fitch downgrades confirm credit quality concerns exceed typical BDC peer levels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External management fee structure misaligns GSAM incentives with shareholder returns — management earns base fees on gross assets regardless of NII coverage or NAV trajectory, incentivizing portfolio growth over quality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GSBD's lending business itself is relationship-driven and moderately protected — credit underwriting for middle market companies requires complex documentation review, borrower relationship management, and judgment on private company financials that AI cannot fully automate [2]. However, GSBD's portfolio companies face direct AI disruption risk, and this has already materialized in credit losses. Co-CEO Bantwal cited 'artificial intelligence disruption across software' as a key market concern, and 99% of GSBD's non-accruals are in legacy positions, many in AI-exposed software/ARR borrowers [2]. The portfolio's ARR exposure has been deliberately cut from 39% to 11%, but residual legacy positions continue to generate realized losses and NAV erosion. AI Opportunity (1/1): GSBD launched a formal AI disruption underwriting framework — a distinctive credit risk innovation that directly informs origination and portfolio management decisions, reducing future exposure to AI-vulnerable borrowers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12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Goldman Sachs BDC Q1 2026 Earnings Release — NII $0.22/share (24% miss), NAV $12.17 (-3.7%), revenue $78.8M, two additional non-accruals, dividend maintained at $0.32,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Goldman Sachs BDC Portfolio and AI Strategy — Co-CEO Vivek Bantwal, AI disruption underwriting framework, ARR exposure cut 39%→11%, 58% newer originations,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Analyst Downgrades and Credit Concerns — BofA downgrade to Underperform, Fitch negative outlook, legacy asset credit performance lagging peers,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 / Yahoo Finance / BDCInvestor — GSBD key statistics, price/NAV, dividend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