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GSM</w:t>
      </w:r>
      <w:r>
        <w:rPr>
          <w:rFonts w:ascii="Calibri" w:hAnsi="Calibri"/>
          <w:b/>
          <w:color w:val="1A2010"/>
          <w:sz w:val="40"/>
        </w:rPr>
        <w:t xml:space="preserve">  Ferroglobe PLC</w:t>
      </w:r>
    </w:p>
    <w:p>
      <w:pPr>
        <w:spacing w:after="120"/>
      </w:pPr>
      <w:r>
        <w:rPr>
          <w:rFonts w:ascii="Calibri" w:hAnsi="Calibri"/>
          <w:b/>
          <w:color w:val="6E8450"/>
          <w:sz w:val="18"/>
        </w:rPr>
        <w:t>GROWTH SLEEVE · 2026-08-04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NASDAQ · United Kingdom</w:t>
      </w:r>
    </w:p>
    <w:p>
      <w:pPr>
        <w:spacing w:after="80"/>
      </w:pPr>
      <w:r>
        <w:rPr>
          <w:rFonts w:ascii="Calibri" w:hAnsi="Calibri"/>
          <w:b w:val="0"/>
          <w:color w:val="3A4A28"/>
          <w:sz w:val="20"/>
        </w:rPr>
        <w:t>Ferroglobe PLC produces and sells silicon metal, silicon-based ferroalloys, and manganese-based ferroalloys globally. The company supplies silicon metal to aluminum, silicone chemical, solar, and semiconductor industries, and operates quartz mines, coal mines, and a hydroelectric power plant across the U.S., Europe, South Africa, and Canada.</w:t>
      </w:r>
    </w:p>
    <w:p>
      <w:r>
        <w:rPr>
          <w:rFonts w:ascii="Calibri" w:hAnsi="Calibri"/>
          <w:b/>
          <w:color w:val="6E8450"/>
          <w:sz w:val="18"/>
        </w:rPr>
        <w:t>2,920 Employees · https://www.ferroglobe.com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Ferroglobe has pursued incremental product development in high-purity silicon for batteries and solar applications, with CTIO Dr. Benoist Ollivier leading the NANOMATIA project for AI-driven nanomaterials research [2]. No transformative product launches or business model pivots in the last 5 years — the company remains a commodity silicon and ferroalloy producer. AI Deployment (1/2): The NANOMATIA project explores AI and industrial biotechnology for new nanomaterials, representing R&amp;D-stage exploration rather than deployed AI products generating revenue or measurable cost savings [2]. Market Share (1/2): Ferroglobe is one of the world's leading silicon metal and specialty alloy producers with global operations across the U.S., Europe, and South Africa, but faces intense competition from Chinese producers — Q1 2026 silicon-based alloys volume reached the highest level since Q2 2021 at 61,000 tons [1]. Pipeline (1/2): Q1 2026 showed silicon-based alloys volume achieving 18% sequential growth driven by 21% growth in Europe and 20% in North America, supported by EU safeguard duties and a 10-year French energy contract [1]. Silicon-rich anodic material for lithium-ion batteries is in development but lacks specific timelines. R&amp;D Intensity (1/1): Dedicated CTIO role and university partnerships for nanomaterials research indicate above-average R&amp;D commitment for the metals/mining sector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Ferroglobe's public materials describe the company in functional terms — producing silicon metal and ferroalloys for industrial customers. The 2022-2026 ESG Strategy positions the company as 'enabling materials vital to sustainable development' but reads as compliance-driven rather than purpose-driven [3]. Community Impact (1/2): ESG strategy includes local community engagement at plant locations across Spain, France, South Africa, and the U.S., with commitments to reduce GHG emissions and improve environmental footprint, though no specific charitable dollar amounts or distinctive programs were identified [3]. Employee Retention (1/2): CEO Marco Levi has served since 2020, providing 6 years of leadership continuity through a difficult turnaround. VP of People &amp; Culture David Girardeau was appointed to drive cultural unification across global operations [2]. Insider Buying (1/2): Chairman Javier Lopez Madrid and Director Silvia Villar-Mir de Fuentes each purchased 26,000 shares at $3.86 in March 2026, totaling $200,360 in insider buying — a modest but positive conviction signal during the turnaround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Growth stock scoring reflects a cyclical industrial in recovery with improving revenue trajectory but persistent losses. D/E of 35.8% scores 1.00 (healthy balance sheet with $134M cash vs $250M debt), ROE of -15.3% scores 0.00 (still negative but improved from -23.2% in April), Rev Growth YoY of 6% scores 0.87 (Q1 2026 revenue of $348M up 6% YoY with shipments up 7% to 177,000 tons [1]), Rev 5yr CAGR of ~7% scores 0.80 (2x weight), profit margin of -8.5% scores 0.00. Forward P/E and PEG excluded due to uncertain earnings trajectory — Q1 2026 non-GAAP EPS of -$0.07 vs consensus -$0.066 was a slight miss [1]. Weighted sum 3.47/7 = Infrastructure 5. Liquidity floor cleared: 1.71M avg volume x $3.18 = $5.44M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Ferroglobe operates with a mixed mindset — the 2022-2026 ESG strategy, 10-year French energy contract, and battery materials development suggest planning for endurance, but the company's identity is fundamentally tied to commodity production cycles rather than a transformative vision. CEO Levi's turnaround focus is necessary but inherently finite in orientation.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Ferroglobe lacks a clearly articulated Just Cause beyond producing silicon and ferroalloys for industrial customers. The company frames itself as 'enabling materials vital to sustainable development,' connecting silicon to solar panels and EV batteries, but this positioning reads as strategic marketing rather than a deep organizational cause that shapes behavior and decisions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Levi's 6-year tenure provides stability during a difficult cyclical downturn, and the appointment of VP of People &amp; Culture David Girardeau to unify corporate culture across global operations shows awareness of organizational trust needs [2]. However, no exceptional trust evidence — retention data, employee sentiment, or empowerment programs — was found. The workforce is spread across mining and smelting operations in multiple countries with inherent cultural challenges.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Ferroglobe's competitive language centers on trade protections (EU safeguards, U.S. anti-dumping duties) against Chinese producers rather than self-improvement driven by competitive learning [1]. The company frames competition as a threat to be regulated away rather than a spur to innovation.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Ferroglobe has shown incremental flexibility by developing silicon-rich anodic material for EV batteries and pursuing AI-driven nanomaterials research through the NANOMATIA project, representing early moves toward higher-value products beyond commodity ferroalloys [2]. The 10-year French energy contract represents long-term strategic positioning. However, the core business remains commodity silicon and ferroalloys with no transformative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Chairman Lopez Madrid and Director Villar-Mir de Fuentes purchased shares at $3.86 during the downturn, demonstrating personal conviction [4]. Management's commitment to a 10-year energy contract in France and investment in battery-grade silicon development during a period of negative profitability shows willingness to invest through the cycle. However, the company's reliance on trade protections rather than organic competitive advantage limits the courage assessment.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Ferroglobe is a deep-value cyclical play trading at $3.18 with a $594M market cap and healthy balance sheet (D/E 35.8%, $134M cash) [5]. Q1 2026 showed revenue improving to $348M (+6% YoY) with silicon-based alloys volume reaching the highest level since Q2 2021 at 61,000 tons — up 18% sequentially with 21% growth in Europe and 20% in North America [1]. The recovery thesis rests on three structural catalysts: a new 10-year energy contract in France reducing costs and enabling year-round production; EU safeguard duties and U.S. anti-dumping rulings protecting margins from Chinese import competition; and growing demand for high-purity silicon from semiconductor, solar, and EV battery industries. Analyst consensus projects $1.647B in 2026 revenue. Chairman and director insider purchases at $3.86 signal management confidence in the turnaround [4].</w:t>
      </w:r>
    </w:p>
    <w:p>
      <w:pPr>
        <w:spacing w:after="120"/>
      </w:pPr>
      <w:r>
        <w:rPr>
          <w:rFonts w:ascii="Calibri" w:hAnsi="Calibri"/>
          <w:b w:val="0"/>
          <w:color w:val="3A4A28"/>
          <w:sz w:val="20"/>
        </w:rPr>
        <w:t>The bear case remains substantial. Q1 2026 adjusted EBITDA collapsed to $3.3M with free cash flow of negative $16.4M, and non-GAAP EPS of -$0.07 missed consensus estimates, driven by higher energy, transportation, and raw material inflation linked to the conflict in Iran [1]. The stock has fallen 29% from $4.49 to $3.18 since April 2026, reflecting market skepticism about the turnaround timeline. TTM net margin of -8.5% and ROE of -15.3% show the company is still losing money, and the turnaround depends on commodity price recovery outside management's control. Revenue peaked at $2.3B in 2022 and has contracted to $1.37B TTM — the 5yr CAGR of 7% masks extreme cyclical volatility. Environmental regulatory risk is elevated given smelting operations, and trade protections (EU safeguards, U.S. anti-dumping orders) can be reversed or circumvented by Chinese producers through third-country routing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10-year energy contract in France starting 2026 reduces costs and enables year-round production at French smelting facilities — management's top cited competitive advantage for margin recovery [1]</w:t>
      </w:r>
    </w:p>
    <w:p>
      <w:pPr>
        <w:spacing w:before="40" w:after="40"/>
        <w:ind w:left="283"/>
      </w:pPr>
      <w:r>
        <w:rPr>
          <w:rFonts w:ascii="Calibri" w:hAnsi="Calibri"/>
          <w:b/>
          <w:color w:val="4A6B25"/>
          <w:sz w:val="20"/>
        </w:rPr>
        <w:t xml:space="preserve">2. </w:t>
      </w:r>
      <w:r>
        <w:rPr>
          <w:rFonts w:ascii="Calibri" w:hAnsi="Calibri"/>
          <w:b w:val="0"/>
          <w:color w:val="3A4A28"/>
          <w:sz w:val="20"/>
        </w:rPr>
        <w:t>EU ferrosilicon safeguard duties and U.S. anti-dumping rulings protecting domestic producers from Chinese imports, supporting volume recovery evidenced by Q1 2026 silicon alloys volume at highest level since Q2 2021 [1]</w:t>
      </w:r>
    </w:p>
    <w:p>
      <w:pPr>
        <w:spacing w:before="40" w:after="40"/>
        <w:ind w:left="283"/>
      </w:pPr>
      <w:r>
        <w:rPr>
          <w:rFonts w:ascii="Calibri" w:hAnsi="Calibri"/>
          <w:b/>
          <w:color w:val="4A6B25"/>
          <w:sz w:val="20"/>
        </w:rPr>
        <w:t xml:space="preserve">3. </w:t>
      </w:r>
      <w:r>
        <w:rPr>
          <w:rFonts w:ascii="Calibri" w:hAnsi="Calibri"/>
          <w:b w:val="0"/>
          <w:color w:val="3A4A28"/>
          <w:sz w:val="20"/>
        </w:rPr>
        <w:t>Growing demand for high-purity silicon from EV battery, semiconductor, and solar industries, with Ferroglobe developing silicon-rich anodic material for lithium-ion batteries and serving as an indirect beneficiary of AI data center buildout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operating losses — Q1 2026 adjusted EBITDA of just $3.3M and FCF of -$16.4M with cost inflation from energy, transportation, and raw materials linked to the Iran conflict creating near-term margin pressure [1]</w:t>
      </w:r>
    </w:p>
    <w:p>
      <w:pPr>
        <w:spacing w:before="40" w:after="40"/>
        <w:ind w:left="283"/>
      </w:pPr>
      <w:r>
        <w:rPr>
          <w:rFonts w:ascii="Calibri" w:hAnsi="Calibri"/>
          <w:b/>
          <w:color w:val="4A6B25"/>
          <w:sz w:val="20"/>
        </w:rPr>
        <w:t xml:space="preserve">2. </w:t>
      </w:r>
      <w:r>
        <w:rPr>
          <w:rFonts w:ascii="Calibri" w:hAnsi="Calibri"/>
          <w:b w:val="0"/>
          <w:color w:val="3A4A28"/>
          <w:sz w:val="20"/>
        </w:rPr>
        <w:t>Stock declined 29% from $4.49 to $3.18 since April 2026 reflecting turnaround skepticism, with $594M market cap and commodity-driven earnings making the stock highly volatile to silicon metal and ferroalloy price movements [5]</w:t>
      </w:r>
    </w:p>
    <w:p>
      <w:pPr>
        <w:spacing w:before="40" w:after="40"/>
        <w:ind w:left="283"/>
      </w:pPr>
      <w:r>
        <w:rPr>
          <w:rFonts w:ascii="Calibri" w:hAnsi="Calibri"/>
          <w:b/>
          <w:color w:val="4A6B25"/>
          <w:sz w:val="20"/>
        </w:rPr>
        <w:t xml:space="preserve">3. </w:t>
      </w:r>
      <w:r>
        <w:rPr>
          <w:rFonts w:ascii="Calibri" w:hAnsi="Calibri"/>
          <w:b w:val="0"/>
          <w:color w:val="3A4A28"/>
          <w:sz w:val="20"/>
        </w:rPr>
        <w:t>Trade protection dependence — EU safeguard duties and U.S. anti-dumping orders can be reversed, circumvented by Chinese producers through third-country routing, or undermined by global overcapacity in silicon metal production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Ferroglobe's core business — mining quartz, operating smelting furnaces, and producing silicon metal and ferroalloys — involves physical-world industrial processes that AI structurally cannot displace [2]. The production of high-purity silicon metal actually benefits from AI growth, as silicon is a critical input for semiconductors, solar panels, and lithium-ion batteries that power AI infrastructure. EU and U.S. trade protections (safeguards and anti-dumping duties) create additional regulatory moats. The commodity pricing risk Ferroglobe faces is cyclical, not AI-driven. AI Opportunity (1/1): Ferroglobe supplies silicon metal to the semiconductor supply chain enabling AI computing — AI data center buildouts increase demand for silicon-based components, making Ferroglobe an indirect AI beneficiary. The NANOMATIA AI-driven nanomaterials project represents emerging AI-enhanced R&amp;D capability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Ferroglobe Q1 2026 Financial Results — revenue $348M (+6% YoY), adjusted EBITDA $3.3M, non-GAAP EPS -$0.07, silicon alloys volume 61K tons, May 2026</w:t>
      </w:r>
    </w:p>
    <w:p>
      <w:pPr>
        <w:spacing w:before="20" w:after="20"/>
        <w:ind w:left="170"/>
      </w:pPr>
      <w:r>
        <w:rPr>
          <w:rFonts w:ascii="Calibri" w:hAnsi="Calibri"/>
          <w:b/>
          <w:color w:val="4A6B25"/>
          <w:sz w:val="15"/>
        </w:rPr>
        <w:t xml:space="preserve">2. </w:t>
      </w:r>
      <w:r>
        <w:rPr>
          <w:rFonts w:ascii="Calibri" w:hAnsi="Calibri"/>
          <w:b w:val="0"/>
          <w:color w:val="3A4A28"/>
          <w:sz w:val="17"/>
        </w:rPr>
        <w:t>Ferroglobe Leadership — CEO Marco Levi, CTIO Dr. Benoist Ollivier, NANOMATIA AI/nanomaterials project, VP People &amp; Culture David Girardeau</w:t>
      </w:r>
    </w:p>
    <w:p>
      <w:pPr>
        <w:spacing w:before="20" w:after="20"/>
        <w:ind w:left="170"/>
      </w:pPr>
      <w:r>
        <w:rPr>
          <w:rFonts w:ascii="Calibri" w:hAnsi="Calibri"/>
          <w:b/>
          <w:color w:val="4A6B25"/>
          <w:sz w:val="15"/>
        </w:rPr>
        <w:t xml:space="preserve">3. </w:t>
      </w:r>
      <w:r>
        <w:rPr>
          <w:rFonts w:ascii="Calibri" w:hAnsi="Calibri"/>
          <w:b w:val="0"/>
          <w:color w:val="3A4A28"/>
          <w:sz w:val="17"/>
        </w:rPr>
        <w:t>Ferroglobe ESG Strategy 2022-2026 — sustainability roadmap, environmental compliance, ferroglobe.com</w:t>
      </w:r>
    </w:p>
    <w:p>
      <w:pPr>
        <w:spacing w:before="20" w:after="20"/>
        <w:ind w:left="170"/>
      </w:pPr>
      <w:r>
        <w:rPr>
          <w:rFonts w:ascii="Calibri" w:hAnsi="Calibri"/>
          <w:b/>
          <w:color w:val="4A6B25"/>
          <w:sz w:val="15"/>
        </w:rPr>
        <w:t xml:space="preserve">4. </w:t>
      </w:r>
      <w:r>
        <w:rPr>
          <w:rFonts w:ascii="Calibri" w:hAnsi="Calibri"/>
          <w:b w:val="0"/>
          <w:color w:val="3A4A28"/>
          <w:sz w:val="17"/>
        </w:rPr>
        <w:t>InsiderScreener — Chairman Javier Lopez Madrid and Director Silvia Villar-Mir de Fuentes insider purchases at $3.86, March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and Yahoo Finance — GSM key statistics,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