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HASI</w:t>
      </w:r>
      <w:r>
        <w:rPr>
          <w:rFonts w:ascii="Calibri" w:hAnsi="Calibri"/>
          <w:b/>
          <w:color w:val="1A2010"/>
          <w:sz w:val="40"/>
        </w:rPr>
        <w:t xml:space="preserve">  HA Sustainable Infrastructure Capital, Inc.</w:t>
      </w:r>
    </w:p>
    <w:p>
      <w:pPr>
        <w:spacing w:after="120"/>
      </w:pPr>
      <w:r>
        <w:rPr>
          <w:rFonts w:ascii="Calibri" w:hAnsi="Calibri"/>
          <w:b/>
          <w:color w:val="6E8450"/>
          <w:sz w:val="18"/>
        </w:rPr>
        <w:t>DIVIDEND SLEEVE · 2026-08-09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Specialty Finance · NYSE · United States</w:t>
      </w:r>
    </w:p>
    <w:p>
      <w:pPr>
        <w:spacing w:after="80"/>
      </w:pPr>
      <w:r>
        <w:rPr>
          <w:rFonts w:ascii="Calibri" w:hAnsi="Calibri"/>
          <w:b w:val="0"/>
          <w:color w:val="3A4A28"/>
          <w:sz w:val="20"/>
        </w:rPr>
        <w:t>HA Sustainable Infrastructure Capital, Inc. (formerly Hannon Armstrong Sustainable Infrastructure) is a specialty finance company that invests in and manages sustainable infrastructure assets advancing the energy transition. The company deploys capital across utility-scale solar, onshore wind, energy storage, renewable natural gas, energy efficiency, and ecological restoration projects, with more than $15 billion in managed assets. HASI developed the proprietary CarbonCount metric — the first of its kind by a U.S. public company — to measure avoided emissions per dollar invested. The company converted from a REIT to a C-Corp in 2024. Headquartered in Annapolis, Maryland.</w:t>
      </w:r>
    </w:p>
    <w:p>
      <w:r>
        <w:rPr>
          <w:rFonts w:ascii="Calibri" w:hAnsi="Calibri"/>
          <w:b/>
          <w:color w:val="6E8450"/>
          <w:sz w:val="18"/>
        </w:rPr>
        <w:t>178 Employees · https://www.hasi.com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HASI executed a transformative business model shift from REIT to C-Corp in 2024, removing REIT distribution constraints and unlocking new investment structures [1]. The company also significantly expanded from pure renewable energy financing into new verticals — RNG (renewable natural gas), transport, nature, and ecological restoration — opening multiple new revenue streams [2]. Managed assets grew from approximately $8B to over $15B in recent years, with a record $4.3B in new investments deployed in 2025 [1]. AI Deployment (0/2): No AI deployment evident. The company hired a COO from BlackRock focused on 'technology, data strategy, and operational strategy,' suggesting exploration but no shipping AI products or quantified AI-driven savings [3]. Market Share (1/2): HASI is a leading pure-play sustainable infrastructure financier, differentiated by the proprietary CarbonCount metric. However, the market for clean energy financing is large and competitive, with major banks, PE firms, and specialized infrastructure funds all deploying capital in the space [2]. Product Pipeline (1/2): $6.5B investment pipeline with diversified asset classes including new categories (RNG, transport, nature). Q2 2026 guidance raised for the year. But these are investment deployment targets, not product launches in the traditional sense. R&amp;D Intensity (0/1): As a specialty finance company, HASI does not have traditional R&amp;D spending. The CarbonCount metric and investment analytics represent intellectual capital but not R&amp;D in the innovation scoring context.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HASI's purpose — 'capital for essential infrastructure' advancing the energy transition — is specific, thoughtful, and directly connects the company's financial activities to combating climate change [2]. The CarbonCount metric demonstrates genuine commitment to measuring environmental impact alongside financial returns — HASI was the first U.S. public company to report avoided emissions per dollar invested. The purpose has guided consistent strategic decisions since founding, including the REIT-to-C-Corp conversion to better serve the mission. However, the company is only ~13 years old, limiting multi-decade validation. Community Impact (1/2): HASI's investments directly enable climate infrastructure projects — solar installations, wind farms, energy efficiency upgrades — that benefit communities through cleaner energy and reduced emissions. The CarbonCount metric quantifies this impact. However, there is no evidence of separate philanthropic or community investment programs beyond the business itself [2]. Employee Retention (0/2): No specific retention or tenure data available. With only 178 employees, the company is small, and recent executive appointments from BlackRock suggest talent attraction capability [3], but no turnover or tenure metrics are disclosed. Insider Buying (1/2): CFO Marc Pangburn invested $100,485 in HASI shares at $28.71 per share. However, net insider activity has been selling — insiders collectively disposed of $325K more than they bought in the last 12 months [4]. Mixed signal at best.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HASI's forward P/E of 12.29 is well below the 20 target, reflecting attractive earnings valuation despite the premium growth trajectory [5]. The company has paid consecutive dividends for approximately 12 years since its 2013 IPO, with 5 consecutive years of dividend increases and a 5-year dividend growth CAGR of 5.05% [6]. The $1.70 annual dividend yields 4.71%. However, the payout ratio of approximately 80% is elevated relative to the 40% target, and the D/E ratio of 194% reflects the leveraged business model typical of infrastructure finance — HASI maintains 95% of debt at fixed rates or hedged to mitigate interest rate risk, with leverage at 1.7x within the targeted 1.5-2.0x range [4]. GAAP ROE of 7.44% is below the 15% target, though adjusted ROE of 15.3% for H1 2026 better reflects the business economics [1]. Revenue growth metrics are strong for a financial company, with adjusted recurring net investment income up 26% YoY in Q2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HASI demonstrates strong infinite game characteristics through its purpose-driven approach to climate infrastructure finance and the CarbonCount metric that institutionalizes mission measurement. The REIT-to-C-Corp conversion sacrificed tax-advantaged distribution structure for greater strategic flexibility — a genuinely courageous decision. However, the company is relatively young (~13 years), limiting the multi-decade validation that separates truly infinite players. The financial services nature of the business introduces inherent short-term pressures around capital deployment targets and quarterly earnings.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HASI's purpose of deploying capital to advance the energy transition is genuine, specific, and validated by consistent execution since founding. The CarbonCount metric — measuring avoided emissions per dollar invested — institutionalizes the cause in every investment decision and is unique among financial services firms [2]. Strategic decisions clearly trace back to this purpose: the REIT-to-C-Corp conversion, expansion into RNG and ecological restoration, and the avoidance of fossil fuel investments all reflect purpose-driven capital allocation. However, the company is only ~13 years old and hasn't yet faced the kind of existential test (market crisis, leadership transition during stress) that validates a Just Cause through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founder Jeffrey Eckel to Jeffrey Lipson in 2023 was orderly, suggesting organizational health [3]. Recent executive appointments from BlackRock (COO Nitya Gopalakrishnan, 25 years at BlackRock) and internal promotions to Co-CIO roles reflect deliberate talent development and retention. With only 178 employees, the organization is small enough for direct leadership engagement, but limited data is available on cultural practices,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HASI competes in a capital deployment market alongside significantly larger players — BlackRock, Brookfield, major banks — and uses that competitive pressure to differentiate through mission alignment and the CarbonCount metric rather than trying to out-scale rivals [2]. The company's approach of measuring climate impact alongside financial returns suggests competing to improve the quality of sustainable infrastructure investing, not to destroy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REIT-to-C-Corp conversion in 2024 was a significant structural transformation that sacrificed the tax-advantaged REIT distribution model for greater strategic flexibility — allowing HASI to retain more earnings, diversify investment structures, and expand into new asset classes [1]. The expansion from pure renewable energy into RNG, transport, nature, and ecological restoration represents meaningful strategic evolution. These pivots were incremental but purposeful.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REIT-to-C-Corp conversion was a courageous decision that sacrificed the REIT's tax-advantaged distribution structure — which many income-focused investors valued — for long-term strategic flexibility [1]. Deploying a record $4.3B in new investments in 2025 during a period of interest rate uncertainty demonstrated conviction. Management's guidance for 9-10% annual EPS growth through 2030 provides long-term visibility that prioritizes sustainable growth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HASI is a pure-play sustainable infrastructure finance platform experiencing strong secular tailwinds from the energy transition and AI-driven data center demand. Q2 2026 delivered a beat on both revenue ($120.79M vs $112.45M expected) and EPS ($0.92 vs estimates), with adjusted recurring net investment income surging 26% YoY to $107M [1]. The company deployed a record $4.3B in new investments in 2025 against a $6.5B pipeline, and management guides for 9-10% annual EPS growth through 2030 [1]. The forward P/E of 12.29 and PEG of 1.05 are attractive for a company growing earnings at this pace, and the 4.71% dividend yield provides income while waiting for growth [5][6]. The REIT-to-C-Corp conversion has unlocked strategic flexibility, and investment-grade credit ratings support continued low-cost capital access.</w:t>
      </w:r>
    </w:p>
    <w:p>
      <w:pPr>
        <w:spacing w:after="120"/>
      </w:pPr>
      <w:r>
        <w:rPr>
          <w:rFonts w:ascii="Calibri" w:hAnsi="Calibri"/>
          <w:b w:val="0"/>
          <w:color w:val="3A4A28"/>
          <w:sz w:val="20"/>
        </w:rPr>
        <w:t>The primary concern is leverage and interest rate sensitivity. HASI's D/E of 194% reflects the leveraged financial model that amplifies both returns and risk — while 95% of debt is fixed-rate or hedged, the company must continuously access capital markets to fund its growth pipeline, and any credit market disruption could constrain new deployments [4]. The payout ratio of approximately 80% leaves limited retained earnings for self-funding growth. Political risk is material: changes in federal clean energy policy (IRA modifications, permitting reform delays, renewable energy tax credit phase-outs) could directly impact the economics of HASI's investment pipeline. Additionally, GAAP ROE of only 7.44% suggests the adjusted metrics management emphasizes (15.3% adjusted ROE) depend on accounting treatment of investment gains that may not be 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unprecedented demand for clean energy infrastructure — hyperscale operators are securing long-term clean power agreements that directly benefit HASI's utility-scale solar, wind, and storage investment pipeline</w:t>
      </w:r>
    </w:p>
    <w:p>
      <w:pPr>
        <w:spacing w:before="40" w:after="40"/>
        <w:ind w:left="283"/>
      </w:pPr>
      <w:r>
        <w:rPr>
          <w:rFonts w:ascii="Calibri" w:hAnsi="Calibri"/>
          <w:b/>
          <w:color w:val="4A6B25"/>
          <w:sz w:val="20"/>
        </w:rPr>
        <w:t xml:space="preserve">2. </w:t>
      </w:r>
      <w:r>
        <w:rPr>
          <w:rFonts w:ascii="Calibri" w:hAnsi="Calibri"/>
          <w:b w:val="0"/>
          <w:color w:val="3A4A28"/>
          <w:sz w:val="20"/>
        </w:rPr>
        <w:t>Continued 9-10% annual EPS growth through 2030 as guided by management, supported by record $6.5B investment pipeline and diversification into RNG, transport, and ecological restoration</w:t>
      </w:r>
    </w:p>
    <w:p>
      <w:pPr>
        <w:spacing w:before="40" w:after="40"/>
        <w:ind w:left="283"/>
      </w:pPr>
      <w:r>
        <w:rPr>
          <w:rFonts w:ascii="Calibri" w:hAnsi="Calibri"/>
          <w:b/>
          <w:color w:val="4A6B25"/>
          <w:sz w:val="20"/>
        </w:rPr>
        <w:t xml:space="preserve">3. </w:t>
      </w:r>
      <w:r>
        <w:rPr>
          <w:rFonts w:ascii="Calibri" w:hAnsi="Calibri"/>
          <w:b w:val="0"/>
          <w:color w:val="3A4A28"/>
          <w:sz w:val="20"/>
        </w:rPr>
        <w:t>Investment-grade credit ratings and $2.65B sustainability-linked credit facility secured in July 2026 providing low-cost capital for continued asset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 risk at 194% D/E amplifies downside — any credit market disruption, rating downgrade, or inability to access capital markets at favorable terms could constrain growth and pressure the 4.71% dividend</w:t>
      </w:r>
    </w:p>
    <w:p>
      <w:pPr>
        <w:spacing w:before="40" w:after="40"/>
        <w:ind w:left="283"/>
      </w:pPr>
      <w:r>
        <w:rPr>
          <w:rFonts w:ascii="Calibri" w:hAnsi="Calibri"/>
          <w:b/>
          <w:color w:val="4A6B25"/>
          <w:sz w:val="20"/>
        </w:rPr>
        <w:t xml:space="preserve">2. </w:t>
      </w:r>
      <w:r>
        <w:rPr>
          <w:rFonts w:ascii="Calibri" w:hAnsi="Calibri"/>
          <w:b w:val="0"/>
          <w:color w:val="3A4A28"/>
          <w:sz w:val="20"/>
        </w:rPr>
        <w:t>Political and regulatory risk is material — modifications to the Inflation Reduction Act, changes in renewable energy tax credits, or permitting reform delays could directly impair the economics of HASI's investment pipeline</w:t>
      </w:r>
    </w:p>
    <w:p>
      <w:pPr>
        <w:spacing w:before="40" w:after="40"/>
        <w:ind w:left="283"/>
      </w:pPr>
      <w:r>
        <w:rPr>
          <w:rFonts w:ascii="Calibri" w:hAnsi="Calibri"/>
          <w:b/>
          <w:color w:val="4A6B25"/>
          <w:sz w:val="20"/>
        </w:rPr>
        <w:t xml:space="preserve">3. </w:t>
      </w:r>
      <w:r>
        <w:rPr>
          <w:rFonts w:ascii="Calibri" w:hAnsi="Calibri"/>
          <w:b w:val="0"/>
          <w:color w:val="3A4A28"/>
          <w:sz w:val="20"/>
        </w:rPr>
        <w:t>GAAP ROE of 7.44% vs adjusted ROE of 15.3% highlights dependence on accounting treatment of investment gains; any mark-to-market losses on the $15B+ managed asset portfolio could create GAAP earnings volatility and investor concern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HASI deploys capital into physical infrastructure — solar panels, wind turbines, energy storage systems, gas processing facilities — that AI structurally cannot substitute [2]. The business model is financial intermediation for real-world assets that require physical construction, installation, and operation. Regulatory requirements (utility interconnection, environmental permitting) create additional barriers beyond AI's reach. Moreover, AI is likely a demand driver: hyperscale data centers powering AI workloads are driving unprecedented demand for clean energy infrastructure, directly benefiting HASI's investment pipeline. The company's $6.5B pipeline includes utility-scale solar and storage projects serving data center operators [1]. AI Opportunity (0/1): No AI revenue. HASI is a financial company that deploys capital into infrastructure; it does not build or sell AI products. The technology and data strategy focus is on operational efficiency, not AI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HASI Q4 2025 and Q2 2026 Earnings Press Releases — SEC Form 8-K Filings, February and August 2026</w:t>
      </w:r>
    </w:p>
    <w:p>
      <w:pPr>
        <w:spacing w:before="20" w:after="20"/>
        <w:ind w:left="170"/>
      </w:pPr>
      <w:r>
        <w:rPr>
          <w:rFonts w:ascii="Calibri" w:hAnsi="Calibri"/>
          <w:b/>
          <w:color w:val="4A6B25"/>
          <w:sz w:val="15"/>
        </w:rPr>
        <w:t xml:space="preserve">2. </w:t>
      </w:r>
      <w:r>
        <w:rPr>
          <w:rFonts w:ascii="Calibri" w:hAnsi="Calibri"/>
          <w:b w:val="0"/>
          <w:color w:val="3A4A28"/>
          <w:sz w:val="17"/>
        </w:rPr>
        <w:t>HASI.com — About Us, Sustainability &amp; Impact, CarbonCount Methodology</w:t>
      </w:r>
    </w:p>
    <w:p>
      <w:pPr>
        <w:spacing w:before="20" w:after="20"/>
        <w:ind w:left="170"/>
      </w:pPr>
      <w:r>
        <w:rPr>
          <w:rFonts w:ascii="Calibri" w:hAnsi="Calibri"/>
          <w:b/>
          <w:color w:val="4A6B25"/>
          <w:sz w:val="15"/>
        </w:rPr>
        <w:t xml:space="preserve">3. </w:t>
      </w:r>
      <w:r>
        <w:rPr>
          <w:rFonts w:ascii="Calibri" w:hAnsi="Calibri"/>
          <w:b w:val="0"/>
          <w:color w:val="3A4A28"/>
          <w:sz w:val="17"/>
        </w:rPr>
        <w:t>BusinessWire — 'HASI Announces Leadership Team Appointments,' February 13, 2025; Investing.com — Leadership Changes</w:t>
      </w:r>
    </w:p>
    <w:p>
      <w:pPr>
        <w:spacing w:before="20" w:after="20"/>
        <w:ind w:left="170"/>
      </w:pPr>
      <w:r>
        <w:rPr>
          <w:rFonts w:ascii="Calibri" w:hAnsi="Calibri"/>
          <w:b/>
          <w:color w:val="4A6B25"/>
          <w:sz w:val="15"/>
        </w:rPr>
        <w:t xml:space="preserve">4. </w:t>
      </w:r>
      <w:r>
        <w:rPr>
          <w:rFonts w:ascii="Calibri" w:hAnsi="Calibri"/>
          <w:b w:val="0"/>
          <w:color w:val="3A4A28"/>
          <w:sz w:val="17"/>
        </w:rPr>
        <w:t>Simply Wall St, Nasdaq.com — HASI Insider Activity, Debt-to-Equity Analysis,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HASI Key Statistics, Forward P/E, PEG Ratio, and Valuation Metrics,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MacroTrends, Dividend.com — HASI Dividend History, Payout Ratio, and Consecutive Years Analysis,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