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HBAN</w:t>
      </w:r>
      <w:r>
        <w:rPr>
          <w:rFonts w:ascii="Calibri" w:hAnsi="Calibri"/>
          <w:b/>
          <w:color w:val="1A2010"/>
          <w:sz w:val="40"/>
        </w:rPr>
        <w:t xml:space="preserve">  Huntington Bancshares Incorporated</w:t>
      </w:r>
    </w:p>
    <w:p>
      <w:pPr>
        <w:spacing w:after="120"/>
      </w:pPr>
      <w:r>
        <w:rPr>
          <w:rFonts w:ascii="Calibri" w:hAnsi="Calibri"/>
          <w:b/>
          <w:color w:val="6E8450"/>
          <w:sz w:val="18"/>
        </w:rPr>
        <w:t>DIVIDEND SLEEVE · 2026-08-12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Huntington Bancshares is a $225 billion regional bank holding company headquartered in Columbus, Ohio, operating primarily across the Midwest and Southeast through approximately 1,000 branches. The company provides commercial, consumer, and mortgage banking services, and has recently transformed its scale through the acquisitions of TCF Financial (2021), Cadence Bank, and Veritex, expanding from $80B to $225B in assets. CEO Steve Steinour has led the company since 2009. Q2 2026 delivered record results: net income of $727M (+36% YoY), revenue of $2.857B, NII of $2.1B (+40%), and ROTCE of 15.1% (17.5% adjusted). The company employs 20,424 people and pays a $0.62 annual dividend (3.49% yield). Market cap approximately $35.9B.</w:t>
      </w:r>
    </w:p>
    <w:p>
      <w:r>
        <w:rPr>
          <w:rFonts w:ascii="Calibri" w:hAnsi="Calibri"/>
          <w:b/>
          <w:color w:val="6E8450"/>
          <w:sz w:val="18"/>
        </w:rPr>
        <w:t>20,424 Employees · https://www.huntington.com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Huntington has executed a series of transformative acquisitions — TCF Financial (2021), Cadence Bank, and Veritex (2025-2026) — growing from a $75B Midwest community bank to a $225B national franchise with significantly expanded geographic reach and capabilities [1]. Revenue grew from approximately $5B (2020) to $9.18B TTM, and Q2 2026 revenue of $2.857B with NII up 40% YoY demonstrates successful integration execution. However, growth has been primarily acquisition-driven rather than organic product innovation. AI Deployment (2/2): Huntington has deployed AI at scale with quantified results — from just 2 AI agents in Q4 2022 to 50 in production and 60+ in development, with approximately 15 new agents entering the pipeline every month [4]. The CFO serves as the company's AI strategist, and AI is being applied to healthcare billing acceleration, risk management, fraud detection, and customer experience. Employee upskilling is a major focus, with a cultural shift underway as employees move beyond simple AI use to building novel solutions. Market Share (1/2): Huntington is a top-10 U.S. regional bank by assets ($225B) with leading market share in the Midwest and growing Southeast presence through Cadence/Veritex. Not a national category leader, but a meaningful and growing regional franchise [1]. Product Pipeline (1/2): Integration of Cadence and Veritex with $435M in targeted cost synergies provides a clear near-term execution pipeline. AI agent expansion (15 new monthly) and Corporate Ventures fintech investments signal future capability growth. But no transformative next-gen products with specific launch dates are announced. R&amp;D Intensity (0/1): Banks do not separately report R&amp;D spending. While Huntington's AI and Corporate Ventures investments suggest above-average technology commitment, no quantified R&amp;D intensity data is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Huntington positions itself as a purpose-driven regional bank, with a long-standing commitment to community banking and financial inclusion. The mission of serving communities through accessible financial products is clear and genuine but not distinctive among regional banking peers — most regional banks articulate similar community-oriented purposes [5]. CEO Steinour's 17-year tenure provides mission continuity, and ESG reporting since 2018 demonstrates institutional commitment. Community Impact (2/2): Huntington's $40B five-year Community Plan represents a significant, specific commitment to community development and financial inclusion [5]. The company partners with community organizations across its Midwest/Southeast footprint and produces annual Corporate Responsibility and Climate Reports. For a regional bank, this is distinctive and measurable community investment with specific dollar commitments. Employee Retention (1/2): CEO Steinour's 17-year tenure (since 2009) provides exceptional leadership stability. Huntington has invested in DDI leadership development programs for mid-level leaders, and the AI upskilling program demonstrates investment in workforce development [4]. However, no specific retention, turnover, or tenure data is publicly available, and integrating 20,000+ employees across three merged organizations creates cultural assimilation challenges. Insider Buying (0/2): No evidence of meaningful net insider buying by executives. Management increased the 2026 buyback outlook to $550M, but corporate repurchase programs are not personal insider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70.6% ($17.2B debt against $24.4B equity) is essentially at the 70% target, scoring 0.997 [3]. Revenue growth YoY of 26.8% (driven by Cadence/Veritex acquisitions and organic NII growth of 40% in Q2) exceeds the 10% target [1]. Forward P/E of 10.40 is well below the 20x target, reflecting attractive valuation for a bank delivering mid-teens ROTCE [3]. Profit margin of 24.5% ($2.25B net income on $9.18B revenue) exceeds the 20% target [3]. ROE of 9.2% is below the 15% target but improving — Q2 2026 ROTCE reached 15.1% (17.5% adjusted), and management targets 18-19% by 2027 [1]. On dividend metrics, payout ratio of 48.4% is above the 40% target but sustainable, scoring 0.86. Consecutive years paid is approximately 15 (since 2011 reinstatement after the 2008-2009 financial crisis suspension), scoring 1.0 at 2x weight. However, the quarterly dividend has been essentially flat at $0.155 since 2021, resulting in minimal dividend growth — consecutive years growth is approximately 1 and 5yr CAGR is approximately 0.7%, both scoring near zero with combined 3x weight [3]. Liquidity is robust at $519M daily trading value (29.2M shares x $17.77).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Huntington demonstrates meaningful infinite game characteristics under CEO Steinour's 17-year leadership — consistent strategic vision, disciplined risk management, purposeful community banking orientation, and willingness to invest in long-term capabilities (AI transformation, strategic acquisitions). The company has survived and thrived through the financial crisis, COVID, and major bank failures (SVB/First Republic), demonstrating endurance through multiple crises. However, the acquisition-driven growth strategy (three major deals in 5 years) risks prioritizing scale over purpose, and the flat dividend since 2021 despite growing earnings suggests some tension between long-term shareholder alignment and capital management for acquisitions.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Huntington's purpose as a community-oriented regional bank serving the Midwest and Southeast is genuine and has been consistently executed over Steinour's 17-year tenure [5]. The $40B Community Plan, ESG reporting since 2018, and financial inclusion focus connect the company's work to community development. Steinour took over during the 2008 financial crisis and rebuilt the institution with a consistent purpose. The cause has shaped strategic decisions (community lending, branch preservation, accessible financial products). However, the purpose is not distinctive enough to earn full marks — most regional banks articulate similar community missions — and the aggressive acquisition pace (TCF, Cadence, Veritex) suggests growth ambition that could dilute the community-first identity.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Huntington invests in organizational trust through DDI leadership development programs for mid-level leaders, fostering a culture 'defined by listening and valuing opinions' [4]. CEO Steinour's 17-year tenure provides exceptional leadership continuity. The appointment of a new Chief Risk Officer (Senthil Kumar) to strengthen risk culture during expansion demonstrates governance maturity. The AI upskilling program, where employees bring forward novel ideas and solutions, suggests some empowerment. However, simultaneously integrating 20,000+ employees across three merged organizations (TCF, Cadence, Veritex) creates significant cultural assimilation challenges, and no specific retention or satisfaction data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Huntington acknowledges competitive pressure from both fintech disruptors and larger national banks, using its Corporate Ventures team to invest in and learn from innovative fintech startups rather than dismissing them [4]. The CFO's role as AI strategist reflects learning from technology leaders. The company competes with Fifth Third, KeyCorp, Regions, and national banks by focusing on community strengths and operational efficiency rather than predatory pricing or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Huntington has meaningfully transformed its scale and geographic reach through acquisitions — from a $75B Midwest community bank to a $225B national franchise spanning the Midwest and Southeast [1]. The AI transformation (2 agents in 2022 to 50+ in 2026) shows technological flexibility. The Cadence/Veritex acquisitions required entering new markets (Southeast, Texas) and integrating different banking cultures. However, the core business model remains traditional community banking — the changes are incremental extensions of the same model at larger scale rather than the kind of transformative pivot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Steinour took over Huntington during the 2008 financial crisis and rebuilt it from a troubled $55B bank into a $225B institution through disciplined, long-term investment over 17 years [5]. The decision to pursue multiple large acquisitions (TCF, Cadence, Veritex) simultaneously required conviction in the integration playbook. The $435M cost synergy target demands hard integration decisions that can be organizationally painful. However, these are rational banking growth strategies — not the kind of counter-cultural, costly principled stands Sinek values most. Maintaining a flat dividend while earnings grew suggests capital conservation for acquisitions over shareholder generosity.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Huntington Bancshares is delivering its strongest financial performance in company history following the transformative Cadence and Veritex acquisitions. Q2 2026 net income of $727M (+36% YoY) with ROTCE of 15.1% (17.5% adjusted) on revenue of $2.857B demonstrates successful integration execution [1]. NII grew 40% YoY to $2.1B as net interest margin expanded 10bp to 3.21%, and noninterest income surged 67% to $785M. At 10.40x forward earnings with a 3.49% dividend yield, the stock trades at a meaningful discount to the $20.15 consensus price target (+13% upside). Management targets 18-19% ROTCE by 2027 and $435M in full run-rate cost synergies, with $550M in planned buybacks providing additional EPS accretion [1][3]. The AI transformation (50 agents in production, 60+ in development) positions Huntington to capture efficiency gains that peers have not yet pursued [4].</w:t>
      </w:r>
    </w:p>
    <w:p>
      <w:pPr>
        <w:spacing w:after="120"/>
      </w:pPr>
      <w:r>
        <w:rPr>
          <w:rFonts w:ascii="Calibri" w:hAnsi="Calibri"/>
          <w:b w:val="0"/>
          <w:color w:val="3A4A28"/>
          <w:sz w:val="20"/>
        </w:rPr>
        <w:t>The bear case centers on integration execution risk, dividend stagnation, and cyclical banking headwinds. Simultaneously digesting Cadence and Veritex adds unprecedented operational complexity to a bank that was historically a steady Midwest community lender — the $435M synergy target requires difficult cost decisions across 20,000+ employees and merged cultures [1]. The quarterly dividend has been flat at $0.155 since 2021 despite earnings growth, resulting in a 5yr dividend CAGR of approximately 0.7%, which is well below the rate of inflation and may frustrate income-focused investors [3]. The stock remains 9% below its $19.46 52-week high amid broader banking sector uncertainty about interest rate direction and credit quality. Rising nonperforming loans (flagged by Simply Wall St analysis) suggest credit quality deterioration that could accelerate in an economic downturn, particularly in the commercial real estate and consumer lending portfolios inherited from Cadence/Veritex. The Inspire Impact Score of -49 (MISALIGNED) may limit allocation for faith-based investors despite strong positive attributions across 11 ESG categories.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run-rate of $435M Cadence/Veritex cost synergies expected by 2027, with accelerating benefits visible in H2 2026 driving efficiency ratio below 55% and ROTCE toward the 18-19% target [1]</w:t>
      </w:r>
    </w:p>
    <w:p>
      <w:pPr>
        <w:spacing w:before="40" w:after="40"/>
        <w:ind w:left="283"/>
      </w:pPr>
      <w:r>
        <w:rPr>
          <w:rFonts w:ascii="Calibri" w:hAnsi="Calibri"/>
          <w:b/>
          <w:color w:val="4A6B25"/>
          <w:sz w:val="20"/>
        </w:rPr>
        <w:t xml:space="preserve">2. </w:t>
      </w:r>
      <w:r>
        <w:rPr>
          <w:rFonts w:ascii="Calibri" w:hAnsi="Calibri"/>
          <w:b w:val="0"/>
          <w:color w:val="3A4A28"/>
          <w:sz w:val="20"/>
        </w:rPr>
        <w:t>Potential dividend increase in 2027 as integration capital requirements ease — the 48.4% payout ratio on $1.28 EPS provides substantial room for a meaningful increase that would attract income investors [3]</w:t>
      </w:r>
    </w:p>
    <w:p>
      <w:pPr>
        <w:spacing w:before="40" w:after="40"/>
        <w:ind w:left="283"/>
      </w:pPr>
      <w:r>
        <w:rPr>
          <w:rFonts w:ascii="Calibri" w:hAnsi="Calibri"/>
          <w:b/>
          <w:color w:val="4A6B25"/>
          <w:sz w:val="20"/>
        </w:rPr>
        <w:t xml:space="preserve">3. </w:t>
      </w:r>
      <w:r>
        <w:rPr>
          <w:rFonts w:ascii="Calibri" w:hAnsi="Calibri"/>
          <w:b w:val="0"/>
          <w:color w:val="3A4A28"/>
          <w:sz w:val="20"/>
        </w:rPr>
        <w:t>AI agent deployment reaching 100+ in production by year-end 2026 could generate measurable efficiency gains (reduced processing times, lower error rates, enhanced risk management) that differentiate Huntington from slower-adopting regional peers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from simultaneous Cadence and Veritex digestion — cultural assimilation of 20,000+ employees across three legacy organizations, customer retention in acquired markets, and technology platform consolidation create multi-year execution risk [1]</w:t>
      </w:r>
    </w:p>
    <w:p>
      <w:pPr>
        <w:spacing w:before="40" w:after="40"/>
        <w:ind w:left="283"/>
      </w:pPr>
      <w:r>
        <w:rPr>
          <w:rFonts w:ascii="Calibri" w:hAnsi="Calibri"/>
          <w:b/>
          <w:color w:val="4A6B25"/>
          <w:sz w:val="20"/>
        </w:rPr>
        <w:t xml:space="preserve">2. </w:t>
      </w:r>
      <w:r>
        <w:rPr>
          <w:rFonts w:ascii="Calibri" w:hAnsi="Calibri"/>
          <w:b w:val="0"/>
          <w:color w:val="3A4A28"/>
          <w:sz w:val="20"/>
        </w:rPr>
        <w:t>Rising nonperforming loans in the combined portfolio — credit quality deterioration in commercial real estate, consumer lending, or acquired Cadence/Veritex loan books could pressure earnings and capital ratios in an economic downturn [1]</w:t>
      </w:r>
    </w:p>
    <w:p>
      <w:pPr>
        <w:spacing w:before="40" w:after="40"/>
        <w:ind w:left="283"/>
      </w:pPr>
      <w:r>
        <w:rPr>
          <w:rFonts w:ascii="Calibri" w:hAnsi="Calibri"/>
          <w:b/>
          <w:color w:val="4A6B25"/>
          <w:sz w:val="20"/>
        </w:rPr>
        <w:t xml:space="preserve">3. </w:t>
      </w:r>
      <w:r>
        <w:rPr>
          <w:rFonts w:ascii="Calibri" w:hAnsi="Calibri"/>
          <w:b w:val="0"/>
          <w:color w:val="3A4A28"/>
          <w:sz w:val="20"/>
        </w:rPr>
        <w:t>Flat dividend growth since 2021 ($0.155/quarter, approximately 0.7% 5yr CAGR) may drive income-focused investors to higher-yielding alternatives, limiting stock re-rating potential despite strong earnings growth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Regional banking is structurally protected from AI disruption by multiple moats — banking charters and regulatory requirements (FDIC insurance, capital adequacy, compliance frameworks), high switching costs for deposits and lending relationships, physical branch infrastructure, and proprietary commercial lending relationships built over decades [1][5]. AI cannot replicate a banking license or FDIC insurance. The Veritex/Cadence acquisitions strengthen these moats by building scale that creates regulatory and operational barriers to entry. However, fintech competitors (SoFi, Chime, neobanks) and AI-powered lending platforms represent competitive pressure on specific product lines, particularly in consumer banking and unsecured lending, preventing an IMMUNE score. Huntington's proactive AI adoption (50 agents in production, CFO as AI strategist) positions it to use AI for competitive advantage rather than be disrupted by it [4]. AI Opportunity (1/1): Huntington generates quantifiable AI-driven value — 50 AI agents in production accelerating healthcare billing, improving risk management, and enhancing customer experience, with 60+ agents in development and 15 new entering the pipeline monthly [4]. The CFO serving as AI strategist embeds AI at the highest decision-making level, and colleague upskilling ensures organization-wide adoption. While AI revenue is not separately reported, the operational efficiency gains are quantifiable.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Huntington Bancshares Q2 2026 Earnings — Net Income $727M (+36% YoY), Revenue $2.857B, NII $2.1B (+40%), NIM 3.21%, ROTCE 15.1% (17.5% adj), Cadence/Veritex Integration, $435M Synergy Target, $550M Buyback, July 2026</w:t>
      </w:r>
    </w:p>
    <w:p>
      <w:pPr>
        <w:spacing w:before="20" w:after="20"/>
        <w:ind w:left="170"/>
      </w:pPr>
      <w:r>
        <w:rPr>
          <w:rFonts w:ascii="Calibri" w:hAnsi="Calibri"/>
          <w:b/>
          <w:color w:val="4A6B25"/>
          <w:sz w:val="15"/>
        </w:rPr>
        <w:t xml:space="preserve">2. </w:t>
      </w:r>
      <w:r>
        <w:rPr>
          <w:rFonts w:ascii="Calibri" w:hAnsi="Calibri"/>
          <w:b w:val="0"/>
          <w:color w:val="3A4A28"/>
          <w:sz w:val="17"/>
        </w:rPr>
        <w:t>Huntington Bancshares Q1 2026 Earnings — Net Income $523M, EPS $0.25, Revenue $2.4B, ir.huntington.com,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HBAN Key Statistics: Stock Price $17.77, Market Cap $35.9B, PE 13.84, Forward PE 10.40, D/E 70.6%, ROE 9.2%, Profit Margin 24.5%, Revenue TTM $9.18B, Dividend $0.62 (3.49%), Avg Volume 29.2M, Equity $24.4B, Debt $17.2B,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Fortune — 'At Huntington Bancshares, the CFO is also the AI strategist' — 50 AI Agents in Production, 60+ in Development, 15 New Monthly, DDI Leadership Development, April 2026</w:t>
      </w:r>
    </w:p>
    <w:p>
      <w:pPr>
        <w:spacing w:before="20" w:after="20"/>
        <w:ind w:left="170"/>
      </w:pPr>
      <w:r>
        <w:rPr>
          <w:rFonts w:ascii="Calibri" w:hAnsi="Calibri"/>
          <w:b/>
          <w:color w:val="4A6B25"/>
          <w:sz w:val="15"/>
        </w:rPr>
        <w:t xml:space="preserve">5. </w:t>
      </w:r>
      <w:r>
        <w:rPr>
          <w:rFonts w:ascii="Calibri" w:hAnsi="Calibri"/>
          <w:b w:val="0"/>
          <w:color w:val="3A4A28"/>
          <w:sz w:val="17"/>
        </w:rPr>
        <w:t>Huntington ESG and Community — $40B Five-Year Community Plan, ESG Reporting Since 2018, Corporate Responsibility and Climate Reports, Purpose-Driven Banking,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