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w:t>
      </w:r>
      <w:r>
        <w:rPr>
          <w:rFonts w:ascii="Calibri" w:hAnsi="Calibri"/>
          <w:b/>
          <w:color w:val="1A2010"/>
          <w:sz w:val="40"/>
        </w:rPr>
        <w:t xml:space="preserve">  Hecla Mining Company</w:t>
      </w:r>
    </w:p>
    <w:p>
      <w:pPr>
        <w:spacing w:after="120"/>
      </w:pPr>
      <w:r>
        <w:rPr>
          <w:rFonts w:ascii="Calibri" w:hAnsi="Calibri"/>
          <w:b/>
          <w:color w:val="6E8450"/>
          <w:sz w:val="18"/>
        </w:rPr>
        <w:t>GROWTH SLEEVE · 2026-08-12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United States</w:t>
      </w:r>
    </w:p>
    <w:p>
      <w:pPr>
        <w:spacing w:after="80"/>
      </w:pPr>
      <w:r>
        <w:rPr>
          <w:rFonts w:ascii="Calibri" w:hAnsi="Calibri"/>
          <w:b w:val="0"/>
          <w:color w:val="3A4A28"/>
          <w:sz w:val="20"/>
        </w:rPr>
        <w:t>Hecla Mining is the largest primary silver producer in the United States and Canada, operating mines in Alaska (Greens Creek), Idaho (Lucky Friday), and the Yukon (Keno Hill). Founded in 1891, the company completed the sale of its Casa Berardi gold mine in March 2026 and retired all long-term debt in April 2026, transforming into a pure-play silver company with an unencumbered balance sheet. Q2 2026 revenue was $333.9M with record free cash flow and net income of $117.7M.</w:t>
      </w:r>
    </w:p>
    <w:p>
      <w:r>
        <w:rPr>
          <w:rFonts w:ascii="Calibri" w:hAnsi="Calibri"/>
          <w:b/>
          <w:color w:val="6E8450"/>
          <w:sz w:val="18"/>
        </w:rPr>
        <w:t>1,865 Employees · https://www.hecla.com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Hecla executed a transformative strategic pivot by selling Casa Berardi to Orezone Gold for up to $593M (closing March 2026), converting itself into a pure-play silver producer with silver now representing over 73% of revenue [1][2]. The acquisition and ramp of Keno Hill to profitability represents a second meaningful transformation. AI Deployment (0/2): No evidence of AI-powered products, AI-driven operational improvements, or quantified AI cost savings in mining operations [3]. Market Share (2/2): Hecla is the largest primary silver producer in the US and Canada. Lucky Friday posted record 5.3M oz in 2025 and Greens Creek produced 8.7M oz. Q2 2026 continued strong production with record free cash flow [1][4]. Pipeline (1/2): Record $55M exploration investment planned for 2026 with medium-term target of 20M oz annual silver production. Nevada brownfield exploration projects are active but specific new mine timelines remain vague [1]. R&amp;D Intensity (0/1): Hecla's exploration budget of roughly 3-4% of revenue is standard for the precious metals mining sector, not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Hecla's purpose statement 'Responsible. Safe. Innovative.' is clear and identifies operational priorities but is not distinctive — it could apply to any mining company and doesn't articulate a deeper purpose beyond operational excellence [3]. Community Impact (1/2): Hecla's 2025 Sustainability Report highlights more than $1 billion in direct economic impact to communities where the company operates, a 13% improvement in safety performance, and work with indigenous communities near its Yukon operations [5]. General community investment programs exist but no distinctive philanthropic dollar amounts were identified. Employee Retention (1/2): Leadership development program emphasizes positive energy, people-first culture, emotional intelligence, and coaching. CEO Rob Krcmarov (appointed November 2024) brings 30+ years of mining expertise from Barrick Gold [3]. Glassdoor rating of 3.3/5 is average but investment in workforce culture is evident. Insider Buying (0/2): No evidence of meaningful net insider buying by CEO Krcmarov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Hecla's balance sheet transformation is remarkable — the company retired its remaining $263M of 7.25% Senior Notes in April 2026, achieving zero long-term debt with D/E of just 10% [1][4]. ROE of 20.7% exceeds the 15% target, supported by record Q2 2026 net income of $117.7M on revenue of $333.9M (up 52% YoY) and record free cash flow [1]. Revenue growth of 52% YoY in Q2 2026 and 76% H1 2026 YTD far exceeds the 10% target. Estimated 5-year revenue CAGR of approximately 25% exceeds target. Forward P/E of 16.8 is below the 20 target [4]. TTM profit margin of 32.3% significantly exceeds the 20% target. PEG ratio of 5.64 scores zero, reflecting rich valuation relative to forward earnings growth and dragging the overall infrastructure score [4]. Liquidity comfortably clears the $1M floor with average daily volume of approximately 17M shares at $15.50.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Founded in 1891, Hecla demonstrates remarkable longevity — 135 years of surviving commodity cycles, wars, and industry upheaval. The strategic pivot to silver-first and willingness to sell a major gold asset show long-term strategic thinking. However, mining's inherently extractive nature and Hecla's environmental track record create tensions with infinite game principles. New CEO Krcmarov is still establishing his strategic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Hecla's 135-year history as a silver producer provides a legacy cause of supplying critical industrial metals that enable modern technology — solar energy, electronics, medical devices. Silver's essential role in the clean energy transition gives the cause contemporary relevance [1]. The strategic decision to sell Casa Berardi and commit to being 'silver-first' demonstrates a cause that shapes capital allocation. However, mining is fundamentally extractive — depleting finite resources creates an inherent tension with infinite game thinking.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 Krcmarov (appointed November 2024) brings 30+ years of mining experience from Barrick Gold and is building on Hecla's people-first leadership program [3]. Board Chair Catherine Boggs led as interim CEO before Krcmarov's appointment, demonstrating effective succession planning. Leadership development emphasizes coaching, emotional intelligence, and empowerment. However, Glassdoor rating of 3.3/5 is average, and the CEO transition is still recent with limited cultural documentation.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Hecla acknowledges industry peers like First Majestic and Pan American Silver in the silver space and recruited CEO Krcmarov from Barrick Gold, demonstrating willingness to learn from rivals' strengths [3]. Management's competitive language focuses on operational excellence and production leadership rather than defeating specific competitors. The $55M record exploration budget for 2026 reflects using competitive pressure to improve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sale of Casa Berardi gold mine for $593M to pivot toward pure-play silver demonstrates meaningful flexibility — Hecla chose to abandon a significant revenue stream to concentrate on its silver identity [1][2]. This was incremental rather than transformative — the company has always been primarily a silver miner, so this was a sharpening of focus rather than a reinvention. The debt retirement and balance sheet transformation show financial flexibility to pursue the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Hecla's record $55M exploration investment in 2026 shows conviction in long-term growth during a period of elevated commodity prices when the company could instead optimize for near-term cash returns [1]. Retiring all long-term debt rather than pursuing share buybacks reflects long-term thinking. However, environmental controversies — the Bunker Hill Superfund settlement, Greens Creek hazardous waste violations, and Lucky Friday Clean Water Act violations — undermine credibility as a responsible industry leader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Hecla delivered record Q2 2026 results with revenue of $333.9M (up 52% YoY), net income of $117.7M (up 104%), and record free cash flow [1]. H1 2026 sales reached $745.3M, up 76% YTD, driven by elevated gold and silver prices. The balance sheet transformation is complete — Hecla retired all long-term debt in April 2026, achieving D/E of just 10% with substantial cash reserves [4]. As the largest primary silver producer in North America, Hecla benefits from structural silver demand growth driven by solar panel manufacturing, electronics, and AI infrastructure buildout. Forward P/E of 16.8 is reasonable for a commodity producer with 32% profit margins and 20.7% ROE. Medium-term target of 20M oz annual silver production provides a clear growth trajectory from the current 15-16M oz base [1].</w:t>
      </w:r>
    </w:p>
    <w:p>
      <w:pPr>
        <w:spacing w:after="120"/>
      </w:pPr>
      <w:r>
        <w:rPr>
          <w:rFonts w:ascii="Calibri" w:hAnsi="Calibri"/>
          <w:b w:val="0"/>
          <w:color w:val="3A4A28"/>
          <w:sz w:val="20"/>
        </w:rPr>
        <w:t>The bear case centers on commodity price dependence and valuation. Silver at elevated levels is the primary driver of Hecla's record financials — any meaningful price correction would compress margins rapidly given the fixed-cost mining structure [1]. The PEG ratio of 5.64 suggests the market has already priced in the silver boom, and the stock's significant volatility ($4.71 to $34.17 52-week range) reflects commodity sensitivity [4]. 2026 silver production guidance of 15.1-16.5M oz is a step down from 2025's 17M oz as the portfolio adjusts post-Casa Berardi sale. Innovation and inspiration scores are structurally constrained for a commodity miner — Hecla does not have a distinctive competitive moat beyond its geological assets. Environmental liabilities from the Bunker Hill Superfund, Greens Creek, and Lucky Friday operations create ongoing regulatory and reputational risk [5]. The 0.08% dividend yield provides essentially no income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silver prices driven by industrial demand from solar, electronics, and AI data center infrastructure, plus safe-haven demand from geopolitical uncertainty supporting record-level revenue and free cash flow</w:t>
      </w:r>
    </w:p>
    <w:p>
      <w:pPr>
        <w:spacing w:before="40" w:after="40"/>
        <w:ind w:left="283"/>
      </w:pPr>
      <w:r>
        <w:rPr>
          <w:rFonts w:ascii="Calibri" w:hAnsi="Calibri"/>
          <w:b/>
          <w:color w:val="4A6B25"/>
          <w:sz w:val="20"/>
        </w:rPr>
        <w:t xml:space="preserve">2. </w:t>
      </w:r>
      <w:r>
        <w:rPr>
          <w:rFonts w:ascii="Calibri" w:hAnsi="Calibri"/>
          <w:b w:val="0"/>
          <w:color w:val="3A4A28"/>
          <w:sz w:val="20"/>
        </w:rPr>
        <w:t>Keno Hill mine ramp-up in Yukon reaching nameplate capacity and medium-term production target of 20M oz annually, adding incremental silver output to North America's largest primary silver portfolio</w:t>
      </w:r>
    </w:p>
    <w:p>
      <w:pPr>
        <w:spacing w:before="40" w:after="40"/>
        <w:ind w:left="283"/>
      </w:pPr>
      <w:r>
        <w:rPr>
          <w:rFonts w:ascii="Calibri" w:hAnsi="Calibri"/>
          <w:b/>
          <w:color w:val="4A6B25"/>
          <w:sz w:val="20"/>
        </w:rPr>
        <w:t xml:space="preserve">3. </w:t>
      </w:r>
      <w:r>
        <w:rPr>
          <w:rFonts w:ascii="Calibri" w:hAnsi="Calibri"/>
          <w:b w:val="0"/>
          <w:color w:val="3A4A28"/>
          <w:sz w:val="20"/>
        </w:rPr>
        <w:t>Zero long-term debt and strong cash position enabling opportunistic M&amp;A or organic growth investments to consolidate North American silver production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correction from current elevated levels would compress margins rapidly — while AISC of $15-16/oz provides a floor, revenue and free cash flow are highly leveraged to commodity prices with limited hedging in place</w:t>
      </w:r>
    </w:p>
    <w:p>
      <w:pPr>
        <w:spacing w:before="40" w:after="40"/>
        <w:ind w:left="283"/>
      </w:pPr>
      <w:r>
        <w:rPr>
          <w:rFonts w:ascii="Calibri" w:hAnsi="Calibri"/>
          <w:b/>
          <w:color w:val="4A6B25"/>
          <w:sz w:val="20"/>
        </w:rPr>
        <w:t xml:space="preserve">2. </w:t>
      </w:r>
      <w:r>
        <w:rPr>
          <w:rFonts w:ascii="Calibri" w:hAnsi="Calibri"/>
          <w:b w:val="0"/>
          <w:color w:val="3A4A28"/>
          <w:sz w:val="20"/>
        </w:rPr>
        <w:t>2026 silver production guidance of 15.1-16.5M oz represents a temporary decline from 2025's 17M oz during portfolio transition following the Casa Berardi sale and Keno Hill ramp</w:t>
      </w:r>
    </w:p>
    <w:p>
      <w:pPr>
        <w:spacing w:before="40" w:after="40"/>
        <w:ind w:left="283"/>
      </w:pPr>
      <w:r>
        <w:rPr>
          <w:rFonts w:ascii="Calibri" w:hAnsi="Calibri"/>
          <w:b/>
          <w:color w:val="4A6B25"/>
          <w:sz w:val="20"/>
        </w:rPr>
        <w:t xml:space="preserve">3. </w:t>
      </w:r>
      <w:r>
        <w:rPr>
          <w:rFonts w:ascii="Calibri" w:hAnsi="Calibri"/>
          <w:b w:val="0"/>
          <w:color w:val="3A4A28"/>
          <w:sz w:val="20"/>
        </w:rPr>
        <w:t>Environmental liability risk from historical contamination at Bunker Hill (Superfund), Greens Creek (hazardous waste), and Lucky Friday (Clean Water Act), plus potential for new regulatory enforcement disrupting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and gold mining is a physical-world operation involving underground extraction, processing, smelting, and refining that AI structurally cannot displace [1]. Mining requires managing geological risk, heavy equipment, environmental compliance, and labor in remote locations — none substitutable by software. Moreover, silver demand is increasing due to AI infrastructure expansion: solar panels, electronics, semiconductors, and data center components all require silver, making Hecla a direct beneficiary of the AI build-out [1]. Analysts see zero substitution risk for physical mining operations. AI Opportunity (0/1): Hecla does not generate revenue from AI-related products or services. The company benefits indirectly from rising industrial silver demand driven by AI and clean energy infrastructure, but this is a commodity demand tailwind, not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Hecla Mining Q2 2026 Earnings Release and 10-Q Summary — TradingView, Yahoo Finance, Junior Mining Network, August 2026</w:t>
      </w:r>
    </w:p>
    <w:p>
      <w:pPr>
        <w:spacing w:before="20" w:after="20"/>
        <w:ind w:left="170"/>
      </w:pPr>
      <w:r>
        <w:rPr>
          <w:rFonts w:ascii="Calibri" w:hAnsi="Calibri"/>
          <w:b/>
          <w:color w:val="4A6B25"/>
          <w:sz w:val="15"/>
        </w:rPr>
        <w:t xml:space="preserve">2. </w:t>
      </w:r>
      <w:r>
        <w:rPr>
          <w:rFonts w:ascii="Calibri" w:hAnsi="Calibri"/>
          <w:b w:val="0"/>
          <w:color w:val="3A4A28"/>
          <w:sz w:val="17"/>
        </w:rPr>
        <w:t>Hecla Mining Casa Berardi Sale and Silver-First Strategy — Yahoo Finance, Investing.com, 2026</w:t>
      </w:r>
    </w:p>
    <w:p>
      <w:pPr>
        <w:spacing w:before="20" w:after="20"/>
        <w:ind w:left="170"/>
      </w:pPr>
      <w:r>
        <w:rPr>
          <w:rFonts w:ascii="Calibri" w:hAnsi="Calibri"/>
          <w:b/>
          <w:color w:val="4A6B25"/>
          <w:sz w:val="15"/>
        </w:rPr>
        <w:t xml:space="preserve">3. </w:t>
      </w:r>
      <w:r>
        <w:rPr>
          <w:rFonts w:ascii="Calibri" w:hAnsi="Calibri"/>
          <w:b w:val="0"/>
          <w:color w:val="3A4A28"/>
          <w:sz w:val="17"/>
        </w:rPr>
        <w:t>Hecla Mining Company Website — Officers &amp; Senior Management, Leadership, People &amp; Culture,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Hecla Mining (HL) Financial Statistics — StockAnalysis.com, Yahoo Finance, GuruFocus,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Hecla Mining 2025 Sustainability Report and ESG Profile — BusinessWire,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