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HTFL</w:t>
      </w:r>
      <w:r>
        <w:rPr>
          <w:rFonts w:ascii="Calibri" w:hAnsi="Calibri"/>
          <w:b/>
          <w:color w:val="1A2010"/>
          <w:sz w:val="40"/>
        </w:rPr>
        <w:t xml:space="preserve">  HeartFlow, Inc.</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HeartFlow is a medical technology company using AI and computational fluid dynamics to create personalized 3D models of patients' coronary arteries from standard CT angiography scans. Its platform provides non-invasive diagnostic solutions for coronary artery disease (CAD) including RoadMap Analysis, FFRCT Analysis, and the recently launched Plaque Analysis. Over 1,800 institutions globally use HeartFlow's platform, with nearly 650,000 patients managed and a database of 200+ million annotated cardiac images.</w:t>
      </w:r>
    </w:p>
    <w:p>
      <w:r>
        <w:rPr>
          <w:rFonts w:ascii="Calibri" w:hAnsi="Calibri"/>
          <w:b/>
          <w:color w:val="6E8450"/>
          <w:sz w:val="18"/>
        </w:rPr>
        <w:t>843 Employees · https://www.heartflow.com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HeartFlow delivered Q1 2026 revenue of $52.6M, up 41% YoY, and raised full-year 2026 guidance to $228-232M (29-32% growth) from $218-222M [1][5]. The company successfully expanded from core FFRCT to launch Plaque Analysis, which received a Category 1 CPT code with commercial coverage reaching 57% of U.S. lives and is ramping ahead of schedule to $19-21M in 2026 revenue [1][5]. Named one of Fast Company's World's Most Innovative Companies in 2025 [3]. AI Deployment (2/2): HeartFlow's entire platform is AI-powered — using deep learning and computational fluid dynamics to create 3D heart models from standard CT scans, directly replacing invasive catheterization procedures for CAD diagnosis [3]. The company has built a proprietary database of 200+ million annotated cardiac images powering its algorithms [1]. Market Share (2/2): HeartFlow is the category creator and dominant player in non-invasive FFR-CT analysis with 1,800+ institutions globally, 650,000+ patients managed, and 99.5% of U.S. lives covered for FFRCT Analysis [3]. Over 625 peer-reviewed publications validate the technology's clinical utility. Product Pipeline (2/2): Plaque Analysis ramping to $19-21M with specific Medicare payment rates; PCI Navigator launch accelerated for interventional cardiologists; raised guidance with 29-32% growth visibility for full year 2026 [1][5]. R&amp;D Intensity (1/1): Substantial R&amp;D investment drives the AI/computational platform — operating expenses of $71.7M in Q1 alone on $52.6M revenue, with the majority in R&amp;D and engineering, well above medical device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HeartFlow's mission — 'Rewriting the Story of Coronary Artery Disease' with a vision of 'a future in which coronary care is proactive and patient-centered, where CAD is detected early and managed effectively' — is specific, thoughtful, and directly tied to the world's leading cause of death [3]. CEO John Farquhar describes 'empowering clinicians to see more, do more, and transform more lives.' The purpose differentiates from generic medtech and shapes product decisions. Community Impact (1/2): HeartFlow's technology has directly improved outcomes for 650,000+ patients globally by reducing unnecessary invasive cardiac catheterizations [3]. No specific charitable foundation or community investment programs beyond the core product mission were identified. Employee Retention (0/2): Glassdoor rating has deteriorated to 2.7/5.0 with only 34% of employees recommending the company [2]. Reviews cite 'low morale and forced culture,' management that 'does not understand how an AI/ML company efficiently works,' multiple CEO changes leading to high management turnover, and concerns that 'the technology isn't scalable and requires too much human interaction' [2]. Insider Buying (0/2): No evidence of meaningful net insider buying by CEO Farquhar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HeartFlow exhibits a split financial profile — exceptional revenue growth and minimal debt offset by deep unprofitability [1][4]. Q1 2026 delivered $52.6M revenue (41% YoY growth) with GAAP gross margin improving to 80.2% from 75.1% a year ago [1]. The balance sheet is clean with $254.9M in cash and investments against no disclosed debt (D/E ~7%) [1]. However, GAAP net loss was $27.4M in Q1 (including $7.5M impairment charge), and TTM profit margin of approximately -58% reflects continued heavy investment in growth [1][4]. ROE of -78% reflects equity destruction from persistent losses. Liquidity floor cleared easily: 1.5M avg volume x $25.37 = $38M daily dollar volume [4]. The mechanical Infrastructure score is driven up by exceptional revenue growth (41% YoY, ~42% 5yr CAGR) and zero debt, but dragged down by negative profitability and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HeartFlow has a genuine Just Cause in transforming cardiovascular diagnosis, but severe leadership and cultural dysfunction undermine its infinite game potential. The company has operated for 19 years without achieving profitability, experienced multiple CEO transitions, and Glassdoor data reveals a low-trust environment with declining employee satisfaction. The technology is transformative, but the organization is not yet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HeartFlow's cause — 'Rewriting the Story of Coronary Artery Disease' by enabling proactive, patient-centered coronary care — is genuinely compelling, specific, and service-oriented [3]. It connects the company's work to the world's leading cause of death and shapes product decisions. However, after 19 years the company has not yet achieved profitability, has experienced multiple CEO changes, and the cause has not been validated through the kind of crisis-tested consistency Sinek values. The cause is real but partially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2.7/5.0 with only 34% of employees recommending the company signals a clearly low-trust environment [2]. Employee reviews describe 'low morale and forced culture,' management that 'prioritizes pleasing the CEO over honest dialogue,' leadership coming from Medtronic that 'doesn't understand how an AI/ML company works,' and multiple CEO transitions creating alarming upper management turnover [2]. Employees report the technology 'requires too much human interaction to truly ramp up,' suggesting operational challenges that leadership hasn't resolved. This is a textbook low-trust organization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HeartFlow's competitive positioning describes rivals as offering 'substandard products' competing on price — a finite competitive mindset focused on dismissing competitors rather than using their strengths for self-improvement [2]. No evidence was found of management acknowledging where competitors like Siemens Healthineers or Cleerly have advantages or using competitive pressure as motivation to strengthen HeartFlow's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HeartFlow has expanded from its core FFRCT product to launch Plaque Analysis (now ramping to $19-21M) and accelerated PCI Navigator development, adapting its platform to address adjacent clinical needs in the cardiology workflow [1][5]. The transition from a private company to public markets in 2024 and the expansion of the product portfolio demonstrate strategic evolution. However, these are extensions of the same core AI cardiac imaging technology,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HeartFlow has invested heavily in R&amp;D for 19 years without achieving profitability, maintaining focus on its AI diagnostic platform through multiple leadership transitions and market skepticism [1]. The multi-year pursuit of a Category 1 CPT code for Plaque Analysis — a regulatory effort with uncertain outcomes — showed patience over short-term revenue maximization. However, the persistent inability to translate vision into profitability, combined with leadership criticism from employees, tempers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HeartFlow is a high-growth AI-powered medical technology company that delivered Q1 2026 revenue of $52.6M (41% YoY growth) and raised full-year guidance to $228-232M (29-32% growth), up from the previous $218-222M outlook [1][5]. The company's non-invasive cardiac diagnostic platform is a genuine category creator with 1,800+ institutions globally, 650,000+ patients managed, and a proprietary database of 200M+ annotated images [3]. Gross margins expanded to 80.2% (from 75.1% a year ago), and Plaque Analysis is ramping ahead of schedule with a $19-21M outlook and 57% commercial coverage [1][5]. Cash of $254.9M provides adequate runway, analysts unanimously rate the stock Strong Buy with a $37 average target (46% upside), and the technology addresses the #1 global cause of death [3][4].</w:t>
      </w:r>
    </w:p>
    <w:p>
      <w:pPr>
        <w:spacing w:after="120"/>
      </w:pPr>
      <w:r>
        <w:rPr>
          <w:rFonts w:ascii="Calibri" w:hAnsi="Calibri"/>
          <w:b w:val="0"/>
          <w:color w:val="3A4A28"/>
          <w:sz w:val="20"/>
        </w:rPr>
        <w:t>The bear case centers on persistent unprofitability and severe cultural dysfunction. HeartFlow's TTM net loss of approximately $112M on $191M revenue yields a -58% profit margin, and after 19 years in business, GAAP profitability remains distant despite improving unit economics [4]. Glassdoor reviews have deteriorated to 2.7/5.0 with only 34% of employees recommending the company — reviews describe low morale, forced culture, management that 'doesn't understand AI/ML,' and concerns that the technology 'requires too much human interaction to scale' [2]. The stock has fallen 38% from its 52-week high of $41.22 to $25.37, and the $2.2B market cap at ~11x forward revenue requires sustained 30%+ growth and a credible profitability timeline [4]. Competition from AI-enabled cardiac imaging entrants (Siemens, Cleerly) and dependence on favorable Medicare reimbursement decisions create ongoing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$228-232M (29-32% growth) with Plaque Analysis ramping ahead of schedule to $19-21M and 57% commercial coverage, creating a second material revenue pillar [1][5]</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to 80.2% (from 75.1% YoY) with guidance for ~81% demonstrates improving unit economics and a potential path toward operating leverage as revenue scales [1]</w:t>
      </w:r>
    </w:p>
    <w:p>
      <w:pPr>
        <w:spacing w:before="40" w:after="40"/>
        <w:ind w:left="283"/>
      </w:pPr>
      <w:r>
        <w:rPr>
          <w:rFonts w:ascii="Calibri" w:hAnsi="Calibri"/>
          <w:b/>
          <w:color w:val="4A6B25"/>
          <w:sz w:val="20"/>
        </w:rPr>
        <w:t xml:space="preserve">3. </w:t>
      </w:r>
      <w:r>
        <w:rPr>
          <w:rFonts w:ascii="Calibri" w:hAnsi="Calibri"/>
          <w:b w:val="0"/>
          <w:color w:val="3A4A28"/>
          <w:sz w:val="20"/>
        </w:rPr>
        <w:t>PCI Navigator launch for interventional cardiologists expands the platform's clinical utility deeper into the cardiology workflow, potentially increasing revenue per institution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TTM net loss of ~$112M with -58% profit margin raises concerns about the timeline to breakeven, and $254.9M cash provides approximately 2-3 years of runway at current burn rate [1][4]</w:t>
      </w:r>
    </w:p>
    <w:p>
      <w:pPr>
        <w:spacing w:before="40" w:after="40"/>
        <w:ind w:left="283"/>
      </w:pPr>
      <w:r>
        <w:rPr>
          <w:rFonts w:ascii="Calibri" w:hAnsi="Calibri"/>
          <w:b/>
          <w:color w:val="4A6B25"/>
          <w:sz w:val="20"/>
        </w:rPr>
        <w:t xml:space="preserve">2. </w:t>
      </w:r>
      <w:r>
        <w:rPr>
          <w:rFonts w:ascii="Calibri" w:hAnsi="Calibri"/>
          <w:b w:val="0"/>
          <w:color w:val="3A4A28"/>
          <w:sz w:val="20"/>
        </w:rPr>
        <w:t>Severe cultural dysfunction with Glassdoor at 2.7/5.0 and 34% recommendation rate could impair talent retention and execution quality at a critical growth stage, particularly given employee concerns that the technology 'requires too much human interaction to scale' [2]</w:t>
      </w:r>
    </w:p>
    <w:p>
      <w:pPr>
        <w:spacing w:before="40" w:after="40"/>
        <w:ind w:left="283"/>
      </w:pPr>
      <w:r>
        <w:rPr>
          <w:rFonts w:ascii="Calibri" w:hAnsi="Calibri"/>
          <w:b/>
          <w:color w:val="4A6B25"/>
          <w:sz w:val="20"/>
        </w:rPr>
        <w:t xml:space="preserve">3. </w:t>
      </w:r>
      <w:r>
        <w:rPr>
          <w:rFonts w:ascii="Calibri" w:hAnsi="Calibri"/>
          <w:b w:val="0"/>
          <w:color w:val="3A4A28"/>
          <w:sz w:val="20"/>
        </w:rPr>
        <w:t>Reimbursement dependency — commercial viability of Plaque Analysis and FFRCT depends on continued favorable Medicare and commercial payer coverage decisions; adverse reimbursement changes could compress the $228-232M revenue outlook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HeartFlow IS an AI company — its core platform uses deep learning and computational fluid dynamics to create personalized 3D cardiac models from CT scans, making it AI infrastructure in healthcare rather than a company that could be disrupted by AI [3]. The business is protected by multiple structural moats: FDA regulatory clearance (years-long barrier to entry), a proprietary database of 200+ million annotated cardiac images, 625+ peer-reviewed clinical publications validating the technology, and established payer relationships covering 99.5% of U.S. lives [1][3]. Competitors including Siemens Healthineers and GE Healthcare are developing alternative AI cardiac imaging solutions, creating some competitive pressure, but HeartFlow's data moat and clinical validation create meaningful switching costs for the 1,800+ institutions already on the platform. AI Opportunity (1/1): 100% of HeartFlow's $191M+ TTM revenue is AI-generated — the FFRCT, Plaque Analysis, and RoadMap products are all AI-powered clinical diagnostics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HeartFlow Q1 2026 Earnings Release — $52.6M revenue (41% YoY), raised FY2026 guidance to $228-232M, 80.2% gross margin, May 14,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for HeartFlow — 2.7/5.0 rating, 34% recommendation rate, leadership and culture concerns,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HeartFlow Corporate Website — mission, platform description, 1,800+ institutions, 650K+ patients, 200M+ images,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HTFL Key Statistics, $25.37 price, $2.19B market cap, 1.5M avg volume,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HeartFlow 2026 Revenue Guidance and Plaque Analysis Outlook ($19-21M),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