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HUN</w:t>
      </w:r>
      <w:r>
        <w:rPr>
          <w:rFonts w:ascii="Calibri" w:hAnsi="Calibri"/>
          <w:b/>
          <w:color w:val="1A2010"/>
          <w:sz w:val="40"/>
        </w:rPr>
        <w:t xml:space="preserve">  Huntsman Corporation</w:t>
      </w:r>
    </w:p>
    <w:p>
      <w:pPr>
        <w:spacing w:after="120"/>
      </w:pPr>
      <w:r>
        <w:rPr>
          <w:rFonts w:ascii="Calibri" w:hAnsi="Calibri"/>
          <w:b/>
          <w:color w:val="6E8450"/>
          <w:sz w:val="18"/>
        </w:rPr>
        <w:t>DIVIDEND SLEEVE · 2026-08-23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Global specialty chemicals company operating through three segments: Polyurethanes (MDI-based products), Performance Products (amines, surfactants), and Advanced Materials (epoxy resins, adhesives). Led by family patriarch Peter R. Huntsman as Chairman, President, and CEO since 2000, the company generated $5.78B in TTM revenue but posted net losses in both Q1 ($53M loss) and Q2 ($6M loss) 2026 amid sharp rises in benzene and European natural gas feedstock costs driven by Middle East conflict volatility.</w:t>
      </w:r>
    </w:p>
    <w:p>
      <w:r>
        <w:rPr>
          <w:rFonts w:ascii="Calibri" w:hAnsi="Calibri"/>
          <w:b/>
          <w:color w:val="6E8450"/>
          <w:sz w:val="18"/>
        </w:rPr>
        <w:t>6,000 Employees · https://www.huntsman.com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Huntsman is a mature specialty chemicals company with no transformative product launches or business model pivots in the last five years. The company has incrementally refined its polyurethane and advanced materials portfolios through product extensions and reformulations, but the business fundamentally looks the same as it did five years ago with the same three segments and declining revenue trajectory [1]. AI Deployment (1/2): Huntsman has deployed the Citrine Informatics AI platform in its Polyurethanes R&amp;D division, led by Technology Director David Cranfill, to accelerate materials development cycles and reduce costs [3]. This is a concrete internal AI deployment with measurable workflow integration, though no specific dollar savings have been publicly quantified. Market Share Leadership (1/2): Huntsman is a meaningful player in MDI-based polyurethanes and epoxy resins but is not a dominant category leader — it competes against larger chemical conglomerates like BASF, Dow, and Covestro with significantly greater scale [1]. Product Pipeline (0/2): No specific next-generation products with named launch dates and revenue visibility were identified; R&amp;D activity focuses on incremental formulation improvements rather than breakthrough products [3]. R&amp;D Intensity (0/1): R&amp;D spending as a percentage of revenue is at or below the specialty chemicals industry average, consistent with a company focused on process optimization over breakthrough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Huntsman's stated values focus on 'innovation, safety, sustainability, and ethical conduct,' which is generic corporate language interchangeable with any chemicals company in the industry [3]. The company does not articulate a deeper purpose beyond manufacturing chemicals and delivering value to stakeholders. There is no distinctive mission that would differentiate Huntsman from BASF, Dow, or any other chemical manufacturer. Community &amp; Charitable Impact (0/2): No evidence of significant charitable programs, foundation activity, or community investment was identified in public materials beyond standard corporate philanthropy mentions [5]. Employee Retention (0/2): No employee retention or tenure data is publicly available. The ESG governance review flagged Huntsman for 'failure to provide reporting on significant human capital management concerns,' suggesting the company does not prioritize or track employee engagement metrics [5]. Insider Buying (0/2): Peter Huntsman holds significant family ownership but no evidence of meaningful net insider buying by executives in the last 12 months was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excluded as unavailable due to near-zero current-year EPS estimates). D/E of 93% scores well relative to the 70% target and 300% floor (0.90) [4]. ROE of -8.01% falls below the 0% floor, scoring 0 — reflecting the company's current unprofitability driven by raw material cost headwinds and volume weakness [1]. Revenue growth YoY of -3.46% scores 0.55 against the -20% floor and 10% target, and estimated 5yr revenue CAGR of approximately -5% scores 0 given persistent revenue declines from the 2021 commodity supercycle peak [2]. Profit margin of -2.63% scores 0 on negative profitability. Dividend metrics provide partial offset: 19 consecutive years of dividend payments score 1.0 at 2x weight, and the reported 5yr dividend CAGR of 8.99% scores 1.0 at 2x weight [4]. Payout ratio scores 0 given negative earnings, and consecutive years of growth is estimated at 5 (0.50). The stock easily clears the liquidity floor with ~$81M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Huntsman Corporation operates as a quintessential finite game player. The company exists to manufacture and sell specialty chemicals with no articulated vision beyond value delivery to shareholders. Peter Huntsman's 26-year tenure as CEO reflects family dynasty management rather than purpose-driven leadership, and the company's ESG governance has been criticized for lagging peers across environmental, social, and human capital dimensions. Recent restructuring and cost-cutting reflect quarterly earnings optimization, not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Huntsman Corporation does not articulate a Just Cause. The company's public messaging focuses on 'innovation, safety, sustainability, and ethical conduct' — standard corporate platitudes interchangeable with any industrial company [3]. There is no vision of a future state that the company exists to advance, no purpose that has shaped strategic decisions over decades beyond profitability. The Huntsman family legacy provides continuity but not a cause — the company exists to make and sell chemicals, not to advance a world-changing mission. Sinek would classify this as a company playing to win each quarter, not playing to keep playing.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ISS proxy advisory flagged Huntsman for 'failure to provide reporting on significant human capital management concerns,' indicating a lack of transparency around employee engagement, retention, and organizational health [5]. The company's Sustainability Committee, formed only in 2021, has been criticized for ineffective oversight. No evidence of employee empowerment, long average tenure, or cultural practices creating psychological safety was identified. The lack of human capital disclosure itself suggests the company does not prioritize or measure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identified in Huntsman's public communications. The company competes against BASF, Dow, and Covestro in specialty chemicals, but management commentary focuses on market conditions, pricing actions, and cost management rather than learning from competitors' strengths [1][2]. The competitive language is transactional — about pricing power and volume recovery — not about self-improvement inspired by worthy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Huntsman has evolved its business portfolio over time through divestitures and restructuring — exiting Textile Effects (sold to Archroma in 2013) and Performance Products segments to focus on higher-margin specialty applications [1]. These moves show some willingness to abandon legacy businesses, though the changes were incremental portfolio pruning driven by financial underperformance rather than transformative reinvention in service of a Just Cause. The company has not fundamentally reinvented itself.</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was identified. Huntsman's recent actions focus on cost reduction, workforce optimization, and managing through commodity cycles — standard operational pragmatism, not visionary investment [1][2]. The company continued paying dividends despite posting net losses in both Q1 and Q2 2026, which could be interpreted as commitment to shareholders but more likely reflects financial engineering to maintain yield-seeking investor interest. No examples of leadership choosing long-term capability over short-term earnings were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Huntsman offers a deep value proposition at a trailing P/E of -11.96x (reflecting current losses) with a $2.49B market cap representing just 0.43x TTM revenue of $5.78B [4]. Q2 2026 results showed meaningful sequential improvement — revenue of $1.663B vs Q1's $1.42B with losses narrowing from $53M to $6M — suggesting the worst of the raw material headwind may be passing as benzene and natural gas costs stabilize [1]. The company's 19-year dividend history and Inspire Impact Score of 54 (ALIGNED) with no negative attributions make it attractive for values-based income investors, and the 3.05% yield at current prices provides income while waiting for a cyclical recovery. The Advanced Materials and Polyurethanes segments delivered higher volumes in Q2, indicating end-market demand is recovering [1].</w:t>
      </w:r>
    </w:p>
    <w:p>
      <w:pPr>
        <w:spacing w:after="120"/>
      </w:pPr>
      <w:r>
        <w:rPr>
          <w:rFonts w:ascii="Calibri" w:hAnsi="Calibri"/>
          <w:b w:val="0"/>
          <w:color w:val="3A4A28"/>
          <w:sz w:val="20"/>
        </w:rPr>
        <w:t>The bear case centers on structural decline and unprofitability. Huntsman has posted net losses in four of the last six quarters, with TTM revenue declining 3.46% and a 5yr revenue CAGR of approximately -5% from the 2021 commodity supercycle peak [2][4]. ROE of -8.01% and profit margin of -2.63% reflect a company that cannot generate positive returns in the current environment. The dividend consumes 130% of free cash flow and is being funded from the balance sheet — unsustainable if losses persist [4]. ESG governance has been criticized by ISS for lagging peers on environmental disclosure, human capital management, and shareholder responsiveness, creating reputational risk [5]. The chemicals sector faces secular headwinds from sustainability regulations, raw material volatility driven by geopolitical conflict, and potential demand erosion in construction and automotive end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Sequential improvement from Q1 to Q2 2026 — revenue up $243M and net loss narrowing from $53M to $6M — suggests feedstock cost normalization could restore profitability in H2 2026 if benzene and European natural gas prices stabilize [1]</w:t>
      </w:r>
    </w:p>
    <w:p>
      <w:pPr>
        <w:spacing w:before="40" w:after="40"/>
        <w:ind w:left="283"/>
      </w:pPr>
      <w:r>
        <w:rPr>
          <w:rFonts w:ascii="Calibri" w:hAnsi="Calibri"/>
          <w:b/>
          <w:color w:val="4A6B25"/>
          <w:sz w:val="20"/>
        </w:rPr>
        <w:t xml:space="preserve">2. </w:t>
      </w:r>
      <w:r>
        <w:rPr>
          <w:rFonts w:ascii="Calibri" w:hAnsi="Calibri"/>
          <w:b w:val="0"/>
          <w:color w:val="3A4A28"/>
          <w:sz w:val="20"/>
        </w:rPr>
        <w:t>Analyst consensus estimates $1 EPS for next fiscal year, implying a forward P/E of approximately 14x at current prices — if achieved, this would represent a significant re-rating from current loss-making levels [4]</w:t>
      </w:r>
    </w:p>
    <w:p>
      <w:pPr>
        <w:spacing w:before="40" w:after="40"/>
        <w:ind w:left="283"/>
      </w:pPr>
      <w:r>
        <w:rPr>
          <w:rFonts w:ascii="Calibri" w:hAnsi="Calibri"/>
          <w:b/>
          <w:color w:val="4A6B25"/>
          <w:sz w:val="20"/>
        </w:rPr>
        <w:t xml:space="preserve">3. </w:t>
      </w:r>
      <w:r>
        <w:rPr>
          <w:rFonts w:ascii="Calibri" w:hAnsi="Calibri"/>
          <w:b w:val="0"/>
          <w:color w:val="3A4A28"/>
          <w:sz w:val="20"/>
        </w:rPr>
        <w:t>AI-driven R&amp;D acceleration through the Citrine Informatics platform could shorten product development cycles in Polyurethanes and Advanced Materials, improving competitive positioning against larger peers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 net losses in four of the last six quarters with -8.01% ROE and -2.63% profit margins, with the $0.35 annual dividend consuming 130% of free cash flow and potentially requiring a cut if losses continue [4]</w:t>
      </w:r>
    </w:p>
    <w:p>
      <w:pPr>
        <w:spacing w:before="40" w:after="40"/>
        <w:ind w:left="283"/>
      </w:pPr>
      <w:r>
        <w:rPr>
          <w:rFonts w:ascii="Calibri" w:hAnsi="Calibri"/>
          <w:b/>
          <w:color w:val="4A6B25"/>
          <w:sz w:val="20"/>
        </w:rPr>
        <w:t xml:space="preserve">2. </w:t>
      </w:r>
      <w:r>
        <w:rPr>
          <w:rFonts w:ascii="Calibri" w:hAnsi="Calibri"/>
          <w:b w:val="0"/>
          <w:color w:val="3A4A28"/>
          <w:sz w:val="20"/>
        </w:rPr>
        <w:t>Raw material cost exposure to geopolitical volatility — the Middle East conflict caused sharp benzene and European natural gas price spikes in early 2026, and any escalation could repeat the margin compression that drove Q1's $53M loss [1][2]</w:t>
      </w:r>
    </w:p>
    <w:p>
      <w:pPr>
        <w:spacing w:before="40" w:after="40"/>
        <w:ind w:left="283"/>
      </w:pPr>
      <w:r>
        <w:rPr>
          <w:rFonts w:ascii="Calibri" w:hAnsi="Calibri"/>
          <w:b/>
          <w:color w:val="4A6B25"/>
          <w:sz w:val="20"/>
        </w:rPr>
        <w:t xml:space="preserve">3. </w:t>
      </w:r>
      <w:r>
        <w:rPr>
          <w:rFonts w:ascii="Calibri" w:hAnsi="Calibri"/>
          <w:b w:val="0"/>
          <w:color w:val="3A4A28"/>
          <w:sz w:val="20"/>
        </w:rPr>
        <w:t>ESG governance gaps flagged by ISS including worst ESG rating among primary peers, failure to produce TCFD-aligned climate disclosures, and inadequate human capital management reporting create institutional investor exclusion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Huntsman's core business — manufacturing specialty chemicals in physical plants using proprietary chemical processes and formulations — has meaningful defensive moats against AI disruption [1]. AI cannot manufacture MDI, polyurethanes, epoxy resins, or amines; these require physical infrastructure, chemical engineering expertise, and regulatory compliance that AI cannot replicate. The company's products serve physical-world applications in construction, automotive, and aerospace that require real materials. However, AI-driven materials science platforms (like the Citrine Informatics tool Huntsman itself uses) could accelerate competitor R&amp;D cycles and erode Huntsman's formulation advantages over time [3]. AI Opportunity (0/1): Huntsman uses AI internally for R&amp;D acceleration via the Citrine Informatics platform but does not generate any customer-facing AI revenue; AI is a process improvement tool, not a revenue stream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Huntsman Q2 2026 Earnings Release — Revenue $1.663B, Net Loss $6M, Adjusted EBITDA $120M, Higher Volumes Across All Segments, PR Newswire, July 2026</w:t>
      </w:r>
    </w:p>
    <w:p>
      <w:pPr>
        <w:spacing w:before="20" w:after="20"/>
        <w:ind w:left="170"/>
      </w:pPr>
      <w:r>
        <w:rPr>
          <w:rFonts w:ascii="Calibri" w:hAnsi="Calibri"/>
          <w:b/>
          <w:color w:val="4A6B25"/>
          <w:sz w:val="15"/>
        </w:rPr>
        <w:t xml:space="preserve">2. </w:t>
      </w:r>
      <w:r>
        <w:rPr>
          <w:rFonts w:ascii="Calibri" w:hAnsi="Calibri"/>
          <w:b w:val="0"/>
          <w:color w:val="3A4A28"/>
          <w:sz w:val="17"/>
        </w:rPr>
        <w:t>Huntsman Q1 2026 Earnings Release and Conference Call — Revenue $1.42B, Net Loss $53M, Feedstock Cost Headwinds from Middle East Conflict, PR Newswire/MarketScreener, April 2026</w:t>
      </w:r>
    </w:p>
    <w:p>
      <w:pPr>
        <w:spacing w:before="20" w:after="20"/>
        <w:ind w:left="170"/>
      </w:pPr>
      <w:r>
        <w:rPr>
          <w:rFonts w:ascii="Calibri" w:hAnsi="Calibri"/>
          <w:b/>
          <w:color w:val="4A6B25"/>
          <w:sz w:val="15"/>
        </w:rPr>
        <w:t xml:space="preserve">3. </w:t>
      </w:r>
      <w:r>
        <w:rPr>
          <w:rFonts w:ascii="Calibri" w:hAnsi="Calibri"/>
          <w:b w:val="0"/>
          <w:color w:val="3A4A28"/>
          <w:sz w:val="17"/>
        </w:rPr>
        <w:t>Huntsman AI-Driven Materials Development with Citrine Informatics — Polyurethanes R&amp;D Acceleration, AZoM,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HUN Key Statistics: Stock Price $14.16, D/E 93%, ROE -8.01%, Dividend Yield 3.05%, Avg Volume 5.75M,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ISS Proxy Advisory and Sustainalytics — Huntsman ESG Governance Concerns: Worst Rating Among Peers, Human Capital Reporting Gaps, TCFD Disclosure Failure,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