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HXL</w:t>
      </w:r>
      <w:r>
        <w:rPr>
          <w:rFonts w:ascii="Calibri" w:hAnsi="Calibri"/>
          <w:b/>
          <w:color w:val="1A2010"/>
          <w:sz w:val="40"/>
        </w:rPr>
        <w:t xml:space="preserve">  Hexcel Corporation</w:t>
      </w:r>
    </w:p>
    <w:p>
      <w:pPr>
        <w:spacing w:after="120"/>
      </w:pPr>
      <w:r>
        <w:rPr>
          <w:rFonts w:ascii="Calibri" w:hAnsi="Calibri"/>
          <w:b/>
          <w:color w:val="6E8450"/>
          <w:sz w:val="18"/>
        </w:rPr>
        <w:t>GROWTH SLEEVE · 2026-08-04 · Inspire: 45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NYSE · United States</w:t>
      </w:r>
    </w:p>
    <w:p>
      <w:pPr>
        <w:spacing w:after="80"/>
      </w:pPr>
      <w:r>
        <w:rPr>
          <w:rFonts w:ascii="Calibri" w:hAnsi="Calibri"/>
          <w:b w:val="0"/>
          <w:color w:val="3A4A28"/>
          <w:sz w:val="20"/>
        </w:rPr>
        <w:t>Hexcel Corporation develops, manufactures, and markets advanced lightweight composite materials and engineered products for commercial aerospace, space and defense, and industrial applications. The company operates through Composite Materials and Engineered Products segments, supplying carbon fiber, prepregs, honeycomb structures, and engineered core products to Airbus, Boeing, and defense primes. Founded in 1948, headquartered in Stamford, Connecticut.</w:t>
      </w:r>
    </w:p>
    <w:p>
      <w:r>
        <w:rPr>
          <w:rFonts w:ascii="Calibri" w:hAnsi="Calibri"/>
          <w:b/>
          <w:color w:val="6E8450"/>
          <w:sz w:val="18"/>
        </w:rPr>
        <w:t>5,563 Employees · https://www.hexcel.com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Hexcel has expanded carbon fiber capacity and developed next-generation prepreg systems for A350 and 787 programs, with Q2 2026 Commercial Aerospace sales surging 18.3% to $346.6M reflecting strong content on new-generation aircraft [1]. However, these are evolutionary advances within the same composites domain rather than transformative pivots. AI Deployment (0/2): No evidence of AI-powered products or quantified AI-driven cost savings in manufacturing operations. Market Share (2/2): Hexcel operates as a duopoly leader alongside Toray in aerospace-grade carbon fiber composites, with dominant positions on Airbus A350, Boeing 787, F-35, and other key defense programs [1][3]. Product Pipeline (1/2): Management outlined a clear path to 18% adjusted operating margins by end of decade, supported by $500M in incremental commercial sales and $200M in defense/space sales, though specific next-gen product launches lack firm dates [1]. R&amp;D Intensity (1/1): Over 1,350 patents and pending applications worldwide, with ongoing investment in thermoplastic composites and sustainability-driven material innovations at industry-standard levels for specialty materials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Hexcel's purpose of 'advancing lightweight materials worldwide' is specific and thoughtful — connecting composites innovation to environmental sustainability through a clear causal chain (lighter aircraft → less fuel → reduced emissions) validated by 78 years of continuous investment in carbon fiber technology [3]. The cause has shaped strategic decisions — Hexcel has remained focused on advanced composites rather than diversifying into unrelated materials. Community Impact (1/2): The Hexcel Foundation commits to increasing giving by 10% annually through 2030, and the company's ESG strategy targets 30% reduction in scope 1 and 2 GHG emissions intensity by 2030, though specific charitable dollar amounts remain modest for a $7.7B company [3]. Employee Retention (0/2): Glassdoor ratings of 3.5/5 overall with culture and values at 3.1/5 — mixed reviews citing 'discouraged speaking up,' 'favoritism,' and tension between union operators and management [2]. Insider Buying (2/2): Strong net insider buying of 170,856 shares across 21 purchases in the 6 months prior to April 2026, with CEO Tom Gentile and multiple directors actively buying during the $65-90 range, signaling conviction in the aerospace recovery thesis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updated Q2 2026 financial data. D/E of 79% scores 0.96 (slightly above 70% target with $71M cash vs $993M debt), ROE of 7.9% scores 0.53 (below 15% target but improving with margins), Rev Growth YoY of 8% scores 0.93 (Q2 2026 sales of $529M up 8% YoY [1]), 5yr revenue CAGR of ~8% scores 0.87 (2x weight), Forward P/E of 38.3x scores 0.54 (elevated after the stock's run to all-time high of $104.39 [4]), profit margin of 5.8% scores 0.29 (depressed but improving — adjusted operating margin reached 13.9% vs 11.1% a year ago [1]), Forward PEG of 1.68 scores 0.66 (2x weight). Weighted sum 6.83/10 = Infrastructure 7. Raised FY2026 guidance: revenue $2.025-$2.125B, adjusted EPS $2.30-$2.40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Hexcel demonstrates mixed infinite-game thinking: a genuine 78-year commitment to advancing lightweight materials has endured through multiple aerospace cycles, leadership transitions, and market disruptions. The connection between composites and environmental sustainability adds depth to the cause. However, recent leadership transitions (new CEO, interim CFO) and mixed cultural indicators from Glassdoor suggest the organizational foundation needs strengthening under the Gentile era.</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Hexcel's cause of 'advancing lightweight materials worldwide' has been validated by 78 years of continuous investment in carbon fiber and composites technology, surviving multiple aerospace downturns including the 2020 COVID collapse [3]. The connection between lightweight composites and environmental sustainability (fuel savings, emissions reduction) adds genuine depth — lighter planes burn less fuel, directly reducing aviation's carbon footprint. The cause has shaped strategic decisions — Hexcel has remained focused on advanced composites rather than diversifying. However, the cause has not yet been proven through the current leadership transition under CEO Gentile.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Tom Gentile has stabilized the leadership team after joining in May 2024, and the company maintains 5,563 employees across global operations [2]. However, Glassdoor ratings of 3.5/5 overall with culture and values at 3.1/5 indicate adequate but not exceptional trust. Some employee accounts describe 'discouraged speaking up,' 'favoritism,' and 'walking on eggshells' dynamics, while the interim CFO placement adds transition uncertainty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Hexcel operates in a duopoly with Toray Industries (Japan), and management's competitive language focuses on advancing materials performance and innovation rather than 'beating' or 'crushing' Toray [1]. The competitive dynamic has pushed both companies to continuously improve carbon fiber tensile strength, resin systems, and manufacturing efficiency, reflecting an infinite competitive mindset of self-improvement through rivalry.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Hexcel has evolved from a basic honeycomb materials producer to a full-spectrum advanced composites company over 78 years, expanding into carbon fiber, prepregs, and engineered structures, and more recently pivoting toward thermoplastic composites and space applications [3]. The company's Q2 2026 defense/space segment and long-term target of $200M incremental defense sales show ongoing adaptation. However, these are incremental evolutions within the same materials science domain, not transformative pivots.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maintained capital investment and R&amp;D spending through the aerospace downturn rather than cutting to protect margins, and the board brought in CEO Gentile from Spirit AeroSystems to navigate the recovery cycle [2]. The raised FY2026 guidance to $2.30-$2.40 adjusted EPS signals confidence in execution [1]. However, the company is largely riding the aerospace recovery cycle rather than making bold contrarian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Hexcel is a duopoly leader in aerospace-grade carbon fiber composites delivering accelerating results as commercial aerospace recovers. Q2 2026 sales of $529M (+8% YoY) beat estimates, with EPS of $0.66 topping consensus by $0.09, and Commercial Aerospace segment sales surging 18.3% to $346.6M driven by A350, 787, and 737 MAX production ramp-ups [1]. Management raised FY2026 guidance to $2.025-$2.125B revenue and $2.30-$2.40 adjusted EPS, with adjusted operating margins improving to 13.9% from 11.1% a year ago and a clear path to 18% margins by end of decade [1]. The stock hit an all-time high of $104.39 in July 2026, and strong insider buying of 170,856 shares by CEO Gentile and directors during the $65-90 range signals conviction in the multi-year recovery [2].</w:t>
      </w:r>
    </w:p>
    <w:p>
      <w:pPr>
        <w:spacing w:after="120"/>
      </w:pPr>
      <w:r>
        <w:rPr>
          <w:rFonts w:ascii="Calibri" w:hAnsi="Calibri"/>
          <w:b w:val="0"/>
          <w:color w:val="3A4A28"/>
          <w:sz w:val="20"/>
        </w:rPr>
        <w:t>The bear case centers on valuation stretch and execution dependency. At 38.3x forward earnings (up from 28.5x in April), HXL is now priced for a full aerospace recovery that depends on Boeing and Airbus executing production ramp-ups that have historically faced delays [1]. Profit margin of 5.8% remains well below pre-COVID levels despite the 13.9% adjusted operating margin improvement, and gross margin of 26.1% shows the recovery is still in early innings. D/E of 79% with $993M debt against only $71M cash limits balance sheet flexibility if the aerospace cycle stalls [4]. Revenue growth of 8% YoY is almost entirely driven by aerospace build rate increases — a Boeing production disruption, supply chain bottleneck, or defense budget cut would directly impact volumes. Glassdoor culture ratings of 3.1/5 for values and the ongoing CFO search add organizational uncertainty during a critical scaling phase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Airbus A350 and Boeing 787/737 MAX production rate increases through 2027 targeting record annual delivery rates, with Hexcel's dominant composite content on these platforms directly driving volume growth — Q2 2026 Commercial Aerospace sales already up 18.3% [1]</w:t>
      </w:r>
    </w:p>
    <w:p>
      <w:pPr>
        <w:spacing w:before="40" w:after="40"/>
        <w:ind w:left="283"/>
      </w:pPr>
      <w:r>
        <w:rPr>
          <w:rFonts w:ascii="Calibri" w:hAnsi="Calibri"/>
          <w:b/>
          <w:color w:val="4A6B25"/>
          <w:sz w:val="20"/>
        </w:rPr>
        <w:t xml:space="preserve">2. </w:t>
      </w:r>
      <w:r>
        <w:rPr>
          <w:rFonts w:ascii="Calibri" w:hAnsi="Calibri"/>
          <w:b w:val="0"/>
          <w:color w:val="3A4A28"/>
          <w:sz w:val="20"/>
        </w:rPr>
        <w:t>Path to 18% adjusted operating margins by end of decade with $500M incremental commercial sales and $200M defense/space sales, supported by operating leverage as revenue scales from $1.89B toward $2.5B+ [1]</w:t>
      </w:r>
    </w:p>
    <w:p>
      <w:pPr>
        <w:spacing w:before="40" w:after="40"/>
        <w:ind w:left="283"/>
      </w:pPr>
      <w:r>
        <w:rPr>
          <w:rFonts w:ascii="Calibri" w:hAnsi="Calibri"/>
          <w:b/>
          <w:color w:val="4A6B25"/>
          <w:sz w:val="20"/>
        </w:rPr>
        <w:t xml:space="preserve">3. </w:t>
      </w:r>
      <w:r>
        <w:rPr>
          <w:rFonts w:ascii="Calibri" w:hAnsi="Calibri"/>
          <w:b w:val="0"/>
          <w:color w:val="3A4A28"/>
          <w:sz w:val="20"/>
        </w:rPr>
        <w:t>F-35 program sustainment and next-generation fighter aircraft development (NGAD/GCAP) create long-duration defense composite demand that is less cyclical than commercial aerospace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38.3x prices in substantial continued recovery — any production rate disappointment, Boeing delivery disruption, or margin guidance cut would trigger significant multiple compression from current all-time-high levels [1][4]</w:t>
      </w:r>
    </w:p>
    <w:p>
      <w:pPr>
        <w:spacing w:before="40" w:after="40"/>
        <w:ind w:left="283"/>
      </w:pPr>
      <w:r>
        <w:rPr>
          <w:rFonts w:ascii="Calibri" w:hAnsi="Calibri"/>
          <w:b/>
          <w:color w:val="4A6B25"/>
          <w:sz w:val="20"/>
        </w:rPr>
        <w:t xml:space="preserve">2. </w:t>
      </w:r>
      <w:r>
        <w:rPr>
          <w:rFonts w:ascii="Calibri" w:hAnsi="Calibri"/>
          <w:b w:val="0"/>
          <w:color w:val="3A4A28"/>
          <w:sz w:val="20"/>
        </w:rPr>
        <w:t>Profit margin of 5.8% remains well below pre-COVID levels, and raw material cost inflation, energy prices, or supply chain disruptions could delay the path to 18% target margins</w:t>
      </w:r>
    </w:p>
    <w:p>
      <w:pPr>
        <w:spacing w:before="40" w:after="40"/>
        <w:ind w:left="283"/>
      </w:pPr>
      <w:r>
        <w:rPr>
          <w:rFonts w:ascii="Calibri" w:hAnsi="Calibri"/>
          <w:b/>
          <w:color w:val="4A6B25"/>
          <w:sz w:val="20"/>
        </w:rPr>
        <w:t xml:space="preserve">3. </w:t>
      </w:r>
      <w:r>
        <w:rPr>
          <w:rFonts w:ascii="Calibri" w:hAnsi="Calibri"/>
          <w:b w:val="0"/>
          <w:color w:val="3A4A28"/>
          <w:sz w:val="20"/>
        </w:rPr>
        <w:t>D/E of 79% with $993M debt against $71M cash provides limited balance sheet flexibility if aerospace demand softens, and the company is a single-industry play with ~65% revenue concentration in commercial aerospace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Hexcel's core business — manufacturing physical carbon fiber composites, honeycomb structures, and engineered materials — is structurally immune to AI disruption [3]. AI cannot replace the physical production of advanced materials, nor can it substitute for decades of materials science expertise, FAA/EASA certification requirements, and deeply integrated supply relationships with Airbus and Boeing. The multi-year certification process for aerospace composites creates a regulatory moat that no AI system can bypass. AI may actually increase demand as next-generation autonomous aircraft and AI-enabled defense systems require more composite content per platform. AI Opportunity (0/1): No AI revenue products — Hexcel's value proposition is physical materials science, not software or data.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Hexcel Q2 2026 Earnings Release — sales $529M (+8% YoY), EPS $0.66 (beat by $0.09), raised FY2026 guidance to $2.025-2.125B revenue and $2.30-2.40 EPS, July 2026</w:t>
      </w:r>
    </w:p>
    <w:p>
      <w:pPr>
        <w:spacing w:before="20" w:after="20"/>
        <w:ind w:left="170"/>
      </w:pPr>
      <w:r>
        <w:rPr>
          <w:rFonts w:ascii="Calibri" w:hAnsi="Calibri"/>
          <w:b/>
          <w:color w:val="4A6B25"/>
          <w:sz w:val="15"/>
        </w:rPr>
        <w:t xml:space="preserve">2. </w:t>
      </w:r>
      <w:r>
        <w:rPr>
          <w:rFonts w:ascii="Calibri" w:hAnsi="Calibri"/>
          <w:b w:val="0"/>
          <w:color w:val="3A4A28"/>
          <w:sz w:val="17"/>
        </w:rPr>
        <w:t>Hexcel Leadership, Glassdoor Reviews, and Insider Transaction Data — CEO Tom Gentile, insider purchases,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Hexcel Corporation Sustainability Report, Patent Portfolio, and Company Website — hexcel.com,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HXL Statistics, Valuation, and Market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