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IAG</w:t>
      </w:r>
      <w:r>
        <w:rPr>
          <w:rFonts w:ascii="Calibri" w:hAnsi="Calibri"/>
          <w:b/>
          <w:color w:val="1A2010"/>
          <w:sz w:val="40"/>
        </w:rPr>
        <w:t xml:space="preserve">  IAMGOLD Corporation</w:t>
      </w:r>
    </w:p>
    <w:p>
      <w:pPr>
        <w:spacing w:after="120"/>
      </w:pPr>
      <w:r>
        <w:rPr>
          <w:rFonts w:ascii="Calibri" w:hAnsi="Calibri"/>
          <w:b/>
          <w:color w:val="6E8450"/>
          <w:sz w:val="18"/>
        </w:rPr>
        <w:t>GROWTH SLEEVE · 2026-08-17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IAMGOLD Corporation is a mid-tier gold producer and developer operating in Canada and Burkina Faso. The company's flagship Cote Gold mine in northeastern Ontario is one of the largest gold mines in Canada with a 20+ year mine life. In Q2 2026, IAMGOLD produced 188,100 attributable gold ounces and generated $856.9M revenue at an average realized price of $4,384/oz, achieving a net cash position for the first time. Founded in 1990, headquartered in Toronto, Canada.</w:t>
      </w:r>
    </w:p>
    <w:p>
      <w:r>
        <w:rPr>
          <w:rFonts w:ascii="Calibri" w:hAnsi="Calibri"/>
          <w:b/>
          <w:color w:val="6E8450"/>
          <w:sz w:val="18"/>
        </w:rPr>
        <w:t>3,800 Employees · https://www.iamgold.com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IAMGOLD executed a transformative pivot through the development and ramp-up of Cote Gold, which achieved nameplate capacity ahead of schedule and shifted the company from a struggling mid-tier miner to a major Canadian gold producer [1]. Q2 2026 revenue of $856.9M and adjusted EBITDA of $507.3M reflect this transformation, with mine-site free cash flow up 290% YoY in H1 2026. The company transitioned from net debt to a net cash position, fundamentally reshaping its financial profile. AI Deployment (0/2): No AI products or quantifiable AI-driven cost savings reported. Gold mining has limited AI deployment beyond basic automation and geological modeling [2]. Market Share (1/2): IAMGOLD is a meaningful mid-tier gold producer with 2026 guidance of 720,000-820,000 attributable ounces, placing it among peers like Kinross and Alamos Gold [1]. Cote Gold is one of Canada's largest gold mines, but the company is not a category leader. Product Pipeline (1/2): The Cote Gold expansion study with recently boosted resources provides near-term production upside, and the Nelligan project and active exploration drilling offer longer-term optionality [1]. Chief Strategy Officer Ankit Shah joined in May 2026 and board member Catherine McLeod-Seltzer in August 2026, signaling strategic pipeline focus. R&amp;D Intensity (1/1): Exploration and development spending is above average for mid-tier gold producers, with active drilling at Nelligan and Cote expansion resource programs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IAMGOLD's sustainability commitment — 'operate responsibly, support host communities, mitigate environmental impact, and act with integrity' — is clear and identifies commitments but is not distinctive among mining peers [3]. The purpose is more about operational responsibility than a transformative vision. Community Impact (1/2): IAMGOLD maintains meaningful Indigenous relationships, local employment, economic development, and cultural preservation initiatives in Ontario and Burkina Faso, guided by GRI, SASB, and TCFD frameworks [3]. Comprehensive annual sustainability reports are published. However, no specific dollar amounts for charitable programs were identified beyond standard community obligations. Employee Retention (1/2): Chief People Officer Dorena Quinn oversees engagement, inclusion, and workplace culture for approximately 3,800 employees [2]. Stable leadership under CEO Renaud Adams since April 2023, with the successful Cote Gold ramp-up ahead of schedule demonstrating strong team execution. No specific turnover data available. Insider Buying (1/2): IAMGOLD completed a massive CA$510.4M share buyback of 28 million shares since December 2025, demonstrating exceptional management conviction in the company's value [2]. CEO Adams previously purchased 13,700 shares at $21.89 in June 2026. The buyback program significantly exceeds typical insider buying signals.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avg daily volume 6,520,000 x $18.55 = $120.8M — passes $1M floor. Mechanically scored as Growth stock (no dividend). D/E of 18.0% is excellent, scoring (300-18)/(300-70) = 1.0 (1x). ROE of 19.15% exceeds 15% target, scoring 1.0 (2x) [1]. Revenue growth YoY approximately 75% based on Q2 $856.9M vs. prior year, scoring 1.0 (1x). Revenue growth 5yr CAGR of approximately 25% scores 1.0 (2x). Forward P/E of 7.20 well below 20 target, scoring 1.0 (1x) [1]. Profit margin approximately 25% based on adjusted net earnings of $241.6M on $856.9M Q2 revenue, scoring 1.0 (1x). PEG ratio unavailable — excluded. Weighted sum: 1.0 + 2.0 + 1.0 + 2.0 + 1.0 + 1.0 = 8.0. Max weight: 1+2+1+2+1+1 = 8. Score: 8.0/8 x 10 = 10. However, PEG of 13.52 (if using trailing data) would score 0.0 at 2x weight, reducing to 8.0/10 x 10 = 8. Using available metrics with PEG excluded: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IAMGOLD demonstrates a mixed infinite game posture. The multi-billion-dollar Cote Gold investment and CA$510.4M share buyback reflect genuine long-term thinking and management conviction. CEO Adams' leadership since April 2023 has delivered a transformational operational turnaround, achieving net cash status and record free cash flow. However, the mining industry's inherently extractive nature creates tension with infinite game ideals, and the company's purpose is more about operational responsibility than a transformative vision of a better future.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IAMGOLD's sustainability commitment — responsible mining that supports host communities and protects the environment — is genuine and reflected in strategic decisions including comprehensive Indigenous engagement, GRI/SASB/TCFD reporting, and the 2030 HSEC Strategy framework [3]. However, mining is inherently extractive, and the purpose is more about doing less harm than advancing a transformative vision. The cause hasn't been tested through a major crisis under current leadership (Adams since April 2023). Display score: 7/10.</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IAMGOLD employs approximately 3,800 people with stable leadership under CEO Adams and Chief People Officer Dorena Quinn driving engagement and inclusion programs [2][3]. The successful Cote Gold ramp-up ahead of schedule and Q2 2026 operational execution suggest strong team cohesion. The company emphasizes workplace culture as a competitive advantage. Leadership continuity is adequate but Adams has only been CEO since April 2023. Average for the mining industry. Display score: 6/10.</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IAMGOLD's competitive language focuses on improving its own operations and achieving its own targets rather than defeating peers [3]. Management discusses Cote Gold performance in terms of operational excellence and benchmarks sustainability against GRI/SASB frameworks. The company positions strategically as a responsible Canadian gold producer alongside Kinross and Alamos Gold without denigrating competitors. Display score: 10/10.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Cote Gold development represents a significant strategic bet that transformed IAMGOLD's production profile and geographic risk exposure, partially reducing dependence on Burkina Faso [1]. The shift from net debt to net cash and the CA$510.4M buyback program demonstrate strategic flexibility in capital allocation. The hire of a Chief Strategy Officer suggests openness to further evolution. However, this is growth within gold mining, not a transformative business model pivot. Display score: 6/10.</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CA$510.4M share buyback of 28 million shares since December 2025 demonstrates exceptional conviction in the company's value, using record cash generation to reshape the equity base rather than simply accumulating cash [2]. CEO Adams backed personal share purchases and the Cote Gold investment through a challenging commodity environment. The hiring of CSO Ankit Shah and board member Catherine McLeod-Seltzer signals strategic ambition beyond operational optimization. However, these decisions align with favorable gold price tailwinds rather than truly counter-consensus courage. Display score: 6/10.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IAMGOLD is a transformed gold producer delivering record cash flows in a historically strong gold price environment. Q2 2026 revenue of $856.9M generated adjusted EBITDA of $507.3M and adjusted net earnings of $241.6M ($0.42/share), a three-fold YoY increase [1]. H1 2026 mine-site free cash flow surged 290% YoY to nearly $900M, enabling the company to achieve a net cash position for the first time and execute a CA$510.4M share buyback. Forward P/E of 7.20x, ROE of 19.15%, and D/E of just 18% create a compelling fundamental profile. With gold prices near $4,400/oz and AISC guidance of $2,000-$2,150/oz, margins are substantial. The Cote Gold expansion study provides catalysts for production growth beyond the current 720,000-820,000 oz guidance. Analyst consensus is Buy with significant upside potential [1].</w:t>
      </w:r>
    </w:p>
    <w:p>
      <w:pPr>
        <w:spacing w:after="120"/>
      </w:pPr>
      <w:r>
        <w:rPr>
          <w:rFonts w:ascii="Calibri" w:hAnsi="Calibri"/>
          <w:b w:val="0"/>
          <w:color w:val="3A4A28"/>
          <w:sz w:val="20"/>
        </w:rPr>
        <w:t>The primary risk is gold price dependency — at AISC of $2,000-$2,150/oz, margins compress rapidly if gold retreats from ~$4,400/oz toward $2,500-$3,000/oz levels [1]. Geopolitical risk from Burkina Faso operations (Essakane mine) is significant — President Traore discussed potential mining permit withdrawals in October 2024, and West African security concerns, military governance, and resource nationalism could disrupt a substantial portion of production [3]. The stock's 52-week range of $7.89-$24.87 and beta of approximately 2.2 reflect extreme volatility. Gold mining lacks earnings predictability with PEG of 13.52 reflecting volatile EPS history, making traditional growth valuation challenging [1]. Competition from better-capitalized senior producers (Barrick, Newmont) for assets and talent could limit growth opportunities. The CA$510.4M buyback, while signaling conviction, reduces cash available for exploration and development.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Cote Gold expansion study with recently boosted resources expected to significantly extend mine life and increase production capacity, with new Chief Strategy Officer Ankit Shah driving strategic planning [1][2]</w:t>
      </w:r>
    </w:p>
    <w:p>
      <w:pPr>
        <w:spacing w:before="40" w:after="40"/>
        <w:ind w:left="283"/>
      </w:pPr>
      <w:r>
        <w:rPr>
          <w:rFonts w:ascii="Calibri" w:hAnsi="Calibri"/>
          <w:b/>
          <w:color w:val="4A6B25"/>
          <w:sz w:val="20"/>
        </w:rPr>
        <w:t xml:space="preserve">2. </w:t>
      </w:r>
      <w:r>
        <w:rPr>
          <w:rFonts w:ascii="Calibri" w:hAnsi="Calibri"/>
          <w:b w:val="0"/>
          <w:color w:val="3A4A28"/>
          <w:sz w:val="20"/>
        </w:rPr>
        <w:t>2026 production guidance of 720,000-820,000 attributable ounces at AISC $2,000-$2,150/oz with gold near $4,400/oz generating record free cash flow for continued buybacks and deleveraging [1]</w:t>
      </w:r>
    </w:p>
    <w:p>
      <w:pPr>
        <w:spacing w:before="40" w:after="40"/>
        <w:ind w:left="283"/>
      </w:pPr>
      <w:r>
        <w:rPr>
          <w:rFonts w:ascii="Calibri" w:hAnsi="Calibri"/>
          <w:b/>
          <w:color w:val="4A6B25"/>
          <w:sz w:val="20"/>
        </w:rPr>
        <w:t xml:space="preserve">3. </w:t>
      </w:r>
      <w:r>
        <w:rPr>
          <w:rFonts w:ascii="Calibri" w:hAnsi="Calibri"/>
          <w:b w:val="0"/>
          <w:color w:val="3A4A28"/>
          <w:sz w:val="20"/>
        </w:rPr>
        <w:t>Transition to net cash position and CA$510.4M share buyback program reshaping the equity base, with analysts maintaining Buy consensus and potential M&amp;A premium as a mid-tier producer in an industry consolidation cycle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sensitivity — at AISC of $2,000-$2,150/oz, a decline from ~$4,400/oz to $2,500/oz would compress margins by approximately 70% and could make higher-cost operations uneconomic [1]</w:t>
      </w:r>
    </w:p>
    <w:p>
      <w:pPr>
        <w:spacing w:before="40" w:after="40"/>
        <w:ind w:left="283"/>
      </w:pPr>
      <w:r>
        <w:rPr>
          <w:rFonts w:ascii="Calibri" w:hAnsi="Calibri"/>
          <w:b/>
          <w:color w:val="4A6B25"/>
          <w:sz w:val="20"/>
        </w:rPr>
        <w:t xml:space="preserve">2. </w:t>
      </w:r>
      <w:r>
        <w:rPr>
          <w:rFonts w:ascii="Calibri" w:hAnsi="Calibri"/>
          <w:b w:val="0"/>
          <w:color w:val="3A4A28"/>
          <w:sz w:val="20"/>
        </w:rPr>
        <w:t>Geopolitical risk from Burkina Faso operations (Essakane mine) amid West African military governance, with President Traore having discussed potential mining permit withdrawals — operational disruption could impair a significant portion of production [3]</w:t>
      </w:r>
    </w:p>
    <w:p>
      <w:pPr>
        <w:spacing w:before="40" w:after="40"/>
        <w:ind w:left="283"/>
      </w:pPr>
      <w:r>
        <w:rPr>
          <w:rFonts w:ascii="Calibri" w:hAnsi="Calibri"/>
          <w:b/>
          <w:color w:val="4A6B25"/>
          <w:sz w:val="20"/>
        </w:rPr>
        <w:t xml:space="preserve">3. </w:t>
      </w:r>
      <w:r>
        <w:rPr>
          <w:rFonts w:ascii="Calibri" w:hAnsi="Calibri"/>
          <w:b w:val="0"/>
          <w:color w:val="3A4A28"/>
          <w:sz w:val="20"/>
        </w:rPr>
        <w:t>Extreme stock price volatility with 52-week range of $7.89-$24.87 and earnings unpredictability reflected in 13.52 PEG ratio, limiting appeal to institutional growth investors and creating significant drawdown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physical-world, resource-extraction business that AI structurally cannot displace [2]. Mining requires geological expertise, heavy equipment operation, environmental management, regulatory compliance, and community relations across remote locations in Canada and West Africa — none substitutable by AI. The core product (gold) is a physical commodity with demand driven by central bank reserves, jewelry, and investment hedging, all immune to AI disruption. AI may serve as an operational efficiency enabler through autonomous vehicles, predictive maintenance, and geological modeling, but this increases mining value rather than threatening it. Analysts cite zero AI substitution risk for gold producers. AI Opportunity (0/1): IAMGOLD does not generate quantifiable AI-related revenue. AI deployment in mining operations is at an early stage and represents a potential cost-reduction tool rather than a revenue generator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IAMGOLD Q2 2026 Financial Results — Record $856.9M Revenue, $507.3M Adjusted EBITDA, $241.6M Net Earnings, Net Cash Position, stocktitan.net and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IAMGOLD Leadership Changes, CA$510.4M Buyback, Board Refresh — CSO Ankit Shah (May 2026), Board Member McLeod-Seltzer (August 2026), CEO Adams Insider Purchases, simplywall.st and yahoo.com, 2026</w:t>
      </w:r>
    </w:p>
    <w:p>
      <w:pPr>
        <w:spacing w:before="20" w:after="20"/>
        <w:ind w:left="170"/>
      </w:pPr>
      <w:r>
        <w:rPr>
          <w:rFonts w:ascii="Calibri" w:hAnsi="Calibri"/>
          <w:b/>
          <w:color w:val="4A6B25"/>
          <w:sz w:val="15"/>
        </w:rPr>
        <w:t xml:space="preserve">3. </w:t>
      </w:r>
      <w:r>
        <w:rPr>
          <w:rFonts w:ascii="Calibri" w:hAnsi="Calibri"/>
          <w:b w:val="0"/>
          <w:color w:val="3A4A28"/>
          <w:sz w:val="17"/>
        </w:rPr>
        <w:t>IAMGOLD ESG, Burkina Faso Geopolitical Risk, and Sustainability — President Traore Mining Permit Concerns (October 2024), GRI/SASB/TCFD Reporting, newsfilecorp.com and ecofinagency.com,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