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ICON</w:t>
      </w:r>
      <w:r>
        <w:rPr>
          <w:rFonts w:ascii="Calibri" w:hAnsi="Calibri"/>
          <w:b/>
          <w:color w:val="1A2010"/>
          <w:sz w:val="40"/>
        </w:rPr>
        <w:t xml:space="preserve">  ICON plc</w:t>
      </w:r>
    </w:p>
    <w:p>
      <w:pPr>
        <w:spacing w:after="120"/>
      </w:pPr>
      <w:r>
        <w:rPr>
          <w:rFonts w:ascii="Calibri" w:hAnsi="Calibri"/>
          <w:b/>
          <w:color w:val="6E8450"/>
          <w:sz w:val="18"/>
        </w:rPr>
        <w:t>GROWTH SLEEVE · 2026-08-09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Ireland</w:t>
      </w:r>
    </w:p>
    <w:p>
      <w:pPr>
        <w:spacing w:after="80"/>
      </w:pPr>
      <w:r>
        <w:rPr>
          <w:rFonts w:ascii="Calibri" w:hAnsi="Calibri"/>
          <w:b w:val="0"/>
          <w:color w:val="3A4A28"/>
          <w:sz w:val="20"/>
        </w:rPr>
        <w:t>ICON plc is one of the world's largest contract research organizations (CROs), providing outsourced drug and device development and commercialization services to pharmaceutical, biotechnology, and medical device companies. The company manages clinical trials from compound selection through Phase I-IV studies. ICON merged with PRA Health Sciences in 2021 in a $12B deal, creating a global platform with ~42,000 employees across 50+ countries. Trades on NASDAQ under ticker ICLR. Headquartered in Dublin, Ireland.</w:t>
      </w:r>
    </w:p>
    <w:p>
      <w:r>
        <w:rPr>
          <w:rFonts w:ascii="Calibri" w:hAnsi="Calibri"/>
          <w:b/>
          <w:color w:val="6E8450"/>
          <w:sz w:val="18"/>
        </w:rPr>
        <w:t>42,000 Employees · https://www.iconplc.com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2021 PRA Health Sciences merger ($12B) was transformative, creating the world's third-largest CRO and roughly doubling ICON's revenue base. The company has since built the Orbis agentic AI platform for clinical trials and launched multiple AI tools for trial management [1][3]. However, post-merger organic revenue growth has been essentially flat at ~1% YoY, raising questions about whether the transformation generated value beyond scale. AI Deployment (2/2): ICON announced a multi-year collaboration with Anthropic in July 2026 to deploy Claude AI across the entire clinical trial lifecycle through its Orbis platform [3]. The company has shipped multiple AI-powered tools including iSubmit (document management), FORWARD+ (resource forecasting), and AI-enabled capabilities for study startup and contract drafting, with management citing measurable efficiency gains and margin improvement contributions [3][4]. Market Share (1/2): ICON is the third-largest CRO globally behind IQVIA and LabCorp/Covance, with $8.25B in 2025 revenue. However, organic growth has stalled near zero and the company is losing market position relative to faster-growing peers. ClearBridge Investments exited the stock citing AI disruption concerns [5]. Product Pipeline (1/2): The Orbis AI platform and Anthropic partnership provide a roadmap for next-generation clinical trial management, but specific product launches with timelines and revenue visibility remain limited beyond broad AI integration plans [3]. R&amp;D Intensity (1/1): Significant investment in AI and digital innovation with dedicated AI teams, Anthropic partnership, and the Orbis platform build representing above-average technology investment for the CRO industry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ICON's purpose centers on advancing clinical development to improve patient outcomes — connecting its work to the meaningful cause of enabling new medical treatments that save lives [4]. The 'ICON Cares' initiative integrates ESG, diversity, and CSR under one program. The mission is clear and healthcare-connected but not transformative — most CROs articulate similar patient-outcome purposes. Community Impact (1/2): ICON Cares represents programmatic commitment with sustainability reporting that earned an EcoVadis silver medal and recognition as Time's #57 World's Top Companies in Sustainable Growth (highest-ranked CRO) [6]. However, no specific charitable dollar amounts or distinctive community investment programs were identified. Employee Retention (1/2): CEO Barry Balfe has been with ICON for 20+ years, rising through operational leadership to COO and then CEO in October 2025, suggesting the organization develops and retains senior talent internally [2]. However, employee reviews mention ongoing layoffs and insufficient direction from upper management, indicating mixed organizational trust. Insider Buying (0/2): Only insider selling activity was identified — a Form 144 filing for sale of 18,901 shares (~$3.59M). No meaningful insider buying by CEO or executives in the last 12 months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38% is well below the 70% target (score 1.0). ROE of 6.27% is below the 15% target (score 0.42, 2x weight). Revenue growth YoY of approximately 1% is well below the 10% target (score 0.70). 5-year revenue CAGR of approximately 5% on a pro forma basis — the PRA merger inflates the raw CAGR from $2.9B standalone to $8.25B combined, but organic post-merger growth (2022-2025) has been just 2.2% CAGR (score 0.67, 2x weight). Forward P/E of 8.53 is exceptionally attractive versus the 20 target (score 1.0). Profit margin of 7.40% is well below the 20% target (score 0.37). Forward PEG of 1.92 is above the 1.0 target (score 0.54, 2x weight). Weighted sum 6.32/10 = 6. Note: ICON is restating 2023 and 2024 revenues ($65.3M and $92.7M overstatements) following an audit committee investigation, creating additional uncertainty around reported financial metrics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ICON demonstrates genuine commitment to advancing clinical development as a purpose, with the Anthropic AI partnership and Orbis platform representing courageous bets to transform the CRO model rather than cling to legacy workflows. CEO Barry Balfe's 20+ year internal tenure provides leadership continuity. However, the revenue restatement ($158M in overstatements across 2023-2024) undermines trust in organizational governance, and near-zero organic growth suggests the company may be optimizing for scale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ICON's purpose of advancing clinical development to enable new therapies connects the company's work to a genuine healthcare cause — every drug that reaches patients passes through clinical trials that CROs like ICON manage [4]. The ICON Cares initiative and CEO Balfe's internal promotion suggest leadership alignment with this mission. However, the cause reads more as a description of the business model ('we do clinical trials') than a vision of a future that doesn't yet exist. The PRA merger was financially driven, not cause-driven, and the revenue restatement suggests governance lapses that Sinek would view as inconsistent with living out a Just Cause [1][5].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Barry Balfe's 20+ year career rising through operational roles suggests a stable internal leadership pipeline [2]. However, employee reviews cite ongoing layoffs, insufficient direction from upper management, and teams 'barely keeping the lights on' — indicating gaps in psychological safety. The revenue restatement and associated audit committee investigation further erode organizational trust and suggest internal controls were inadequate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ICON competes with formidable CRO rivals including IQVIA (#1) and LabCorp, and the company's competitive approach emphasizes differentiation through AI innovation and operational capability rather than market-share warfare. The Anthropic partnership and Orbis platform represent learning-oriented competitive responses — improving ICON's own capabilities in response to industry-wide AI adoption pressure rather than trying to destroy competitors [3][4].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ICON is demonstrating meaningful flexibility by pivoting toward an AI-first clinical trial model through the Anthropic partnership and Orbis platform — effectively choosing to cannibalize traditional CRO labor-intensive services before competitors do it to them [3]. The PRA merger also represented willingness to fundamentally change the company's scale and operating model. These are genuine strategic adaptations, though not yet transformative enough to qualify as existential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multi-year Anthropic AI collaboration represents a meaningful bet on transformation in the face of AI disruption risk — investing in the very technology that threatens the traditional CRO model demonstrates courage rather than denial [3]. Management reaffirmed 2026 guidance despite the revenue restatement and maintained margin expansion targets, showing willingness to hold course. However, the revenue overstatement itself ($158M across 2023-2024) represents a governance failure that undermines leadership credibility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ICON offers a compelling value setup with Forward P/E of 8.53x and a $23.4B backlog with a 1.51x book-to-bill ratio in Q2 2026, providing strong revenue visibility despite near-term organic growth challenges [1]. The Anthropic AI partnership and Orbis platform position ICON at the forefront of CRO digital transformation, with management guiding for sequential margin improvement toward ~16.5% adjusted EBITDA margins by year-end 2026 and adjusted EPS of $10-11 [1][3]. Q2 2026 net bookings of $3.12B demonstrate continued commercial momentum, and the stock has partially recovered from its 40% YTD decline as the market re-evaluates the AI disruption narrative. At current levels, investors are paying a significant discount to historical multiples for a company actively investing in the AI transition rather than resisting it.</w:t>
      </w:r>
    </w:p>
    <w:p>
      <w:pPr>
        <w:spacing w:after="120"/>
      </w:pPr>
      <w:r>
        <w:rPr>
          <w:rFonts w:ascii="Calibri" w:hAnsi="Calibri"/>
          <w:b w:val="0"/>
          <w:color w:val="3A4A28"/>
          <w:sz w:val="20"/>
        </w:rPr>
        <w:t>The primary risk is that AI disruption proves more severe than ICON's adaptation can offset. ClearBridge Investments exited their position citing AI disruption concerns, and the 40% YTD stock decline (52-week low of $66.57 vs. current $163.51) reflects genuine investor fear about AI replacing CRO services in protocol design, patient matching, and data management [5]. The 2023-2024 revenue restatement ($158M in overstatements) following an audit committee investigation raises serious governance concerns about financial reporting integrity and management credibility [5]. Organic revenue growth has stalled near 1% YoY despite the massive post-PRA scale, with ROE of only 6.27% and profit margin of 7.40% suggesting the merged entity has not captured expected synergies. Customer concentration in large pharma creates dependency risk, and any acceleration of AI-first clinical trial approaches by smaller, more agile competitors could erode ICON's labor-intensive business model faster than the company can transform.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Multi-year Anthropic AI collaboration and Orbis platform could transform ICON into an AI-first CRO, with management expecting AI efficiency gains to drive sequential margin expansion toward 16.5% adjusted EBITDA</w:t>
      </w:r>
    </w:p>
    <w:p>
      <w:pPr>
        <w:spacing w:before="40" w:after="40"/>
        <w:ind w:left="283"/>
      </w:pPr>
      <w:r>
        <w:rPr>
          <w:rFonts w:ascii="Calibri" w:hAnsi="Calibri"/>
          <w:b/>
          <w:color w:val="4A6B25"/>
          <w:sz w:val="20"/>
        </w:rPr>
        <w:t xml:space="preserve">2. </w:t>
      </w:r>
      <w:r>
        <w:rPr>
          <w:rFonts w:ascii="Calibri" w:hAnsi="Calibri"/>
          <w:b w:val="0"/>
          <w:color w:val="3A4A28"/>
          <w:sz w:val="20"/>
        </w:rPr>
        <w:t>Q2 2026 book-to-bill of 1.51x and $23.4B backlog provide exceptional revenue visibility and suggest pharmaceutical R&amp;D spending remains robust despite macro uncertainty</w:t>
      </w:r>
    </w:p>
    <w:p>
      <w:pPr>
        <w:spacing w:before="40" w:after="40"/>
        <w:ind w:left="283"/>
      </w:pPr>
      <w:r>
        <w:rPr>
          <w:rFonts w:ascii="Calibri" w:hAnsi="Calibri"/>
          <w:b/>
          <w:color w:val="4A6B25"/>
          <w:sz w:val="20"/>
        </w:rPr>
        <w:t xml:space="preserve">3. </w:t>
      </w:r>
      <w:r>
        <w:rPr>
          <w:rFonts w:ascii="Calibri" w:hAnsi="Calibri"/>
          <w:b w:val="0"/>
          <w:color w:val="3A4A28"/>
          <w:sz w:val="20"/>
        </w:rPr>
        <w:t>Forward P/E of 8.53x represents deep value relative to historical CRO multiples — any demonstration that AI is an efficiency enabler rather than an existential threat could trigger significant multiple re-rating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could automate core CRO services (protocol design, patient matching, data monitoring, regulatory submissions), compressing the labor-intensive business model that generates ICON's revenue and margin</w:t>
      </w:r>
    </w:p>
    <w:p>
      <w:pPr>
        <w:spacing w:before="40" w:after="40"/>
        <w:ind w:left="283"/>
      </w:pPr>
      <w:r>
        <w:rPr>
          <w:rFonts w:ascii="Calibri" w:hAnsi="Calibri"/>
          <w:b/>
          <w:color w:val="4A6B25"/>
          <w:sz w:val="20"/>
        </w:rPr>
        <w:t xml:space="preserve">2. </w:t>
      </w:r>
      <w:r>
        <w:rPr>
          <w:rFonts w:ascii="Calibri" w:hAnsi="Calibri"/>
          <w:b w:val="0"/>
          <w:color w:val="3A4A28"/>
          <w:sz w:val="20"/>
        </w:rPr>
        <w:t>Revenue restatement of $158M across 2023-2024 following audit committee investigation raises governance concerns about financial reporting integrity and could trigger additional regulatory scrutiny or investor lawsuits</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has stalled near 1% YoY post-PRA merger with ROE of only 6.27% and profit margin of 7.40%, suggesting the $12B acquisition has not delivered expected synergies or competitive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CROs face genuine AI disruption risk that the market is actively pricing in — ICON's stock declined 40% YTD through early 2026, and ClearBridge Investments exited its position specifically citing concerns that AI could disrupt traditional drug development workflows [5]. AI can automate protocol design, patient recruitment and matching, data monitoring, regulatory submissions, and statistical analysis — core CRO services that represent significant portions of ICON's revenue. However, physical clinical trial operations with human patients, complex regulatory relationships, and decades of institutional knowledge in trial management provide meaningful defensive moats that AI cannot immediately replicate [1][3]. AI Opportunity (1/1): ICON is generating meaningful AI-driven efficiency gains through its Orbis platform and Anthropic partnership. The company has deployed iSubmit, FORWARD+, and AI-enabled study startup tools, and management expects AI efficiency gains to contribute to sequential margin improvement toward the 16.5% adjusted EBITDA target, with plans to exit 2026 at a higher run rate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ICON plc Q2 2026 Earnings Release — BusinessWire, August 3, 2026; StockTitan; Seeking Alpha</w:t>
      </w:r>
    </w:p>
    <w:p>
      <w:pPr>
        <w:spacing w:before="20" w:after="20"/>
        <w:ind w:left="170"/>
      </w:pPr>
      <w:r>
        <w:rPr>
          <w:rFonts w:ascii="Calibri" w:hAnsi="Calibri"/>
          <w:b/>
          <w:color w:val="4A6B25"/>
          <w:sz w:val="15"/>
        </w:rPr>
        <w:t xml:space="preserve">2. </w:t>
      </w:r>
      <w:r>
        <w:rPr>
          <w:rFonts w:ascii="Calibri" w:hAnsi="Calibri"/>
          <w:b w:val="0"/>
          <w:color w:val="3A4A28"/>
          <w:sz w:val="17"/>
        </w:rPr>
        <w:t>ICON Names Phil Barros CEO and Leadership Continuity — BusinessWire, Investing.com, November 2025; Barry Balfe CEO succession</w:t>
      </w:r>
    </w:p>
    <w:p>
      <w:pPr>
        <w:spacing w:before="20" w:after="20"/>
        <w:ind w:left="170"/>
      </w:pPr>
      <w:r>
        <w:rPr>
          <w:rFonts w:ascii="Calibri" w:hAnsi="Calibri"/>
          <w:b/>
          <w:color w:val="4A6B25"/>
          <w:sz w:val="15"/>
        </w:rPr>
        <w:t xml:space="preserve">3. </w:t>
      </w:r>
      <w:r>
        <w:rPr>
          <w:rFonts w:ascii="Calibri" w:hAnsi="Calibri"/>
          <w:b w:val="0"/>
          <w:color w:val="3A4A28"/>
          <w:sz w:val="17"/>
        </w:rPr>
        <w:t>ICON Announces Multi-Year Collaboration with Anthropic — iconplc.com, July 2026</w:t>
      </w:r>
    </w:p>
    <w:p>
      <w:pPr>
        <w:spacing w:before="20" w:after="20"/>
        <w:ind w:left="170"/>
      </w:pPr>
      <w:r>
        <w:rPr>
          <w:rFonts w:ascii="Calibri" w:hAnsi="Calibri"/>
          <w:b/>
          <w:color w:val="4A6B25"/>
          <w:sz w:val="15"/>
        </w:rPr>
        <w:t xml:space="preserve">4. </w:t>
      </w:r>
      <w:r>
        <w:rPr>
          <w:rFonts w:ascii="Calibri" w:hAnsi="Calibri"/>
          <w:b w:val="0"/>
          <w:color w:val="3A4A28"/>
          <w:sz w:val="17"/>
        </w:rPr>
        <w:t>ICON Portfolio of AI Tools and Orbis Platform — investor.iconplc.com, 2025-2026</w:t>
      </w:r>
    </w:p>
    <w:p>
      <w:pPr>
        <w:spacing w:before="20" w:after="20"/>
        <w:ind w:left="170"/>
      </w:pPr>
      <w:r>
        <w:rPr>
          <w:rFonts w:ascii="Calibri" w:hAnsi="Calibri"/>
          <w:b/>
          <w:color w:val="4A6B25"/>
          <w:sz w:val="15"/>
        </w:rPr>
        <w:t xml:space="preserve">5. </w:t>
      </w:r>
      <w:r>
        <w:rPr>
          <w:rFonts w:ascii="Calibri" w:hAnsi="Calibri"/>
          <w:b w:val="0"/>
          <w:color w:val="3A4A28"/>
          <w:sz w:val="17"/>
        </w:rPr>
        <w:t>ClearBridge Investments Exit and AI Disruption Concerns — Yahoo Finance, Simply Wall St; ICON Revenue Restatement — StockTitan, 2026</w:t>
      </w:r>
    </w:p>
    <w:p>
      <w:pPr>
        <w:spacing w:before="20" w:after="20"/>
        <w:ind w:left="170"/>
      </w:pPr>
      <w:r>
        <w:rPr>
          <w:rFonts w:ascii="Calibri" w:hAnsi="Calibri"/>
          <w:b/>
          <w:color w:val="4A6B25"/>
          <w:sz w:val="15"/>
        </w:rPr>
        <w:t xml:space="preserve">6. </w:t>
      </w:r>
      <w:r>
        <w:rPr>
          <w:rFonts w:ascii="Calibri" w:hAnsi="Calibri"/>
          <w:b w:val="0"/>
          <w:color w:val="3A4A28"/>
          <w:sz w:val="17"/>
        </w:rPr>
        <w:t>ICON Cares ESG Report, EcoVadis Silver Medal, Time Sustainable Growth Ranking — iconplc.com, 2022-2025</w:t>
      </w:r>
    </w:p>
    <w:p>
      <w:pPr>
        <w:spacing w:before="20" w:after="20"/>
        <w:ind w:left="170"/>
      </w:pPr>
      <w:r>
        <w:rPr>
          <w:rFonts w:ascii="Calibri" w:hAnsi="Calibri"/>
          <w:b/>
          <w:color w:val="4A6B25"/>
          <w:sz w:val="15"/>
        </w:rPr>
        <w:t xml:space="preserve">7. </w:t>
      </w:r>
      <w:r>
        <w:rPr>
          <w:rFonts w:ascii="Calibri" w:hAnsi="Calibri"/>
          <w:b w:val="0"/>
          <w:color w:val="3A4A28"/>
          <w:sz w:val="17"/>
        </w:rPr>
        <w:t>ICON Insider Trading Activity — StockTitan Form 144, HedgeFollow,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