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IMAX</w:t>
      </w:r>
      <w:r>
        <w:rPr>
          <w:rFonts w:ascii="Calibri" w:hAnsi="Calibri"/>
          <w:b/>
          <w:color w:val="1A2010"/>
          <w:sz w:val="40"/>
        </w:rPr>
        <w:t xml:space="preserve">  IMAX Corporation</w:t>
      </w:r>
    </w:p>
    <w:p>
      <w:pPr>
        <w:spacing w:after="120"/>
      </w:pPr>
      <w:r>
        <w:rPr>
          <w:rFonts w:ascii="Calibri" w:hAnsi="Calibri"/>
          <w:b/>
          <w:color w:val="6E8450"/>
          <w:sz w:val="18"/>
        </w:rPr>
        <w:t>GROWTH SLEEVE · 2026-08-07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Canada</w:t>
      </w:r>
    </w:p>
    <w:p>
      <w:pPr>
        <w:spacing w:after="80"/>
      </w:pPr>
      <w:r>
        <w:rPr>
          <w:rFonts w:ascii="Calibri" w:hAnsi="Calibri"/>
          <w:b w:val="0"/>
          <w:color w:val="3A4A28"/>
          <w:sz w:val="20"/>
        </w:rPr>
        <w:t>IMAX Corporation designs, manufactures, and licenses proprietary large-screen theater systems, projection and sound technology to a global network of roughly 1,800 IMAX screens across 90+ countries. Revenue comes primarily from technology and equipment sales/leases to exhibitors plus a share of box office receipts from IMAX-formatted films. Headquartered in New York and Mississauga, Ontario; led by longtime CEO Richard Gelfond.</w:t>
      </w:r>
    </w:p>
    <w:p>
      <w:r>
        <w:rPr>
          <w:rFonts w:ascii="Calibri" w:hAnsi="Calibri"/>
          <w:b/>
          <w:color w:val="6E8450"/>
          <w:sz w:val="18"/>
        </w:rPr>
        <w:t>750 Employees · https://www.imax.com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IMAX has executed a multi-year laser-projection upgrade cycle and built a local-language content strategy that turned the Japanese anime title 'Demon Slayer: Infinity Castle' into a record international box office driver, alongside early-stage in-vehicle cinema experiments — meaningful extensions but not a full business-model transformation [1][2]. AI Deployment (0/2): No evidence of AI products shipping to customers or quantified AI-driven savings; searches surfaced only aspirational commentary about future AI use in projection and marketing, nothing operationalized with reported results [3]. Market Share (2/2): IMAX is the dominant premium large-format cinema brand globally with a network approaching 1,800 screens and 2026 guidance of ~$1.4B global box office, a category it effectively defines [2]. Product Pipeline (2/2): Management guided to 160-175 new system installations in 2026 with specific revenue visibility, and Q2 2026 delivered 38 installs — the highest second quarter in a decade [2]. R&amp;D Intensity (0/1): No disclosed R&amp;D-as-percent-of-revenue figure was found; IMAX's innovation is concentrated in proprietary projection/laser hardware rather than a disclosed heavy R&amp;D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IMAX's stated purpose of delivering 'the most immersive and captivating entertainment experience' is specific to the company and validated by decades of giant-screen execution, but reads closer to a product positioning statement than a transformative societal cause [1]. Community Impact (1/2): IMAX's documentary catalog (nature and science films like 'Born to Be Wild,' 'To the Arctic') and China ESG reporting reflect general corporate contribution, but no specific dollar-figure philanthropy programs were found [4]. Employee Retention (0/2): Glassdoor shows only 56% of employees would recommend IMAX to a friend with a 3.4/5 culture rating, and critical reviews cite a 'throw one another under the bus' culture and inconsistent leadership — below-average signal, not a standout [3]. Insider Buying (0/2): CEO Richard Gelfond has been a net seller, exercising options and selling roughly 135,046 and 120,132 shares via pre-arranged 10b5-1 plans in late 2025/early 2026 — no offsetting insider buying was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TTM revenue of $416M is up 14.8% YoY with FY2025 revenue growth of 16.5%, gross margin expanding to 59.6% (from 52.7% in FY2021), and TTM net income of $40.9M with 11.3% profit margin — a durable recovery from the 2024 dip [1][2]. D/E of 63% sits near the 70% target, ROE of 11% is moderate, and PEG of 1.67 signals a reasonable growth-adjusted valuation, though Forward P/E of 26.2x is above the 20x target. No dividend is paid, so the company is scored purely on core + growth metrics; liquidity floor is easily cleared (1.31M avg volume x $49.73 = ~$65M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IMAX shows some infinite-game instincts — a long-tenured CEO, decades of consistent format innovation, and patient international expansion into China, India, and Japan — but the evidence base is thin on psychological safety and worthy-rival framing, and the mission reads more like product positioning than a galvanizing cause, keeping the composite score in Sinek's finite range.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IMAX's purpose of delivering the most immersive entertainment experience has been consistently pursued since the company's founding and through CEO Richard Gelfond's long tenure (co-CEO from 1996, sole CEO since 2009), with strategic decisions — laser projection, local-language content, international network expansion — clearly tracing back to it [1][2]. It is not, however, framed as a big, idealistic cause beyond the entertainment product itself, so it falls short of a true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IMAX as having 'a lack of leadership throughout' and a culture where departments 'throw one another under the bus,' with only 56% of employees recommending the company to a friend — signals of a below-average-trust environment rather than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IMAX management publicly framing competitors like Dolby Cinema or other premium large-format providers as sources of self-improvement; commentary centers on IMAX's own network growth and box office share rather than competitive-learning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IMAX has evolved from film-based projection to fully digital and laser systems, shifted toward joint-revenue exhibitor arrangements, and is piloting adjacent formats like in-vehicle cinema, but these are incremental extensions of the core giant-screen model rather than a full reinvention of the business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committed capital to a multi-year laser-projection upgrade cycle and to building local-language content pipelines in China, India, and Japan well ahead of payoff, including the bet on 'Demon Slayer: Infinity Castle' that delivered record Japanese box office — a long-horizon investment choice over near-term earnings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IMAX is riding a genuine cyclical and structural recovery: TTM revenue of $416M (+14.8% YoY) with gross margins expanding to 59.6%, Q2 2026 revenue up 12% to $103M and adjusted net income up 66%, driven by 38 system installations — the strongest second quarter in a decade [1][2]. 2026 guidance of ~$1.4B global box office and 160-175 installations gives strong forward revenue visibility, and the local-language content strategy (anchored by the record-breaking 'Demon Slayer: Infinity Castle' release in Japan) is diversifying the business beyond Hollywood blockbuster dependency into a more global, multi-market platform [1][2].</w:t>
      </w:r>
    </w:p>
    <w:p>
      <w:pPr>
        <w:spacing w:after="120"/>
      </w:pPr>
      <w:r>
        <w:rPr>
          <w:rFonts w:ascii="Calibri" w:hAnsi="Calibri"/>
          <w:b w:val="0"/>
          <w:color w:val="3A4A28"/>
          <w:sz w:val="20"/>
        </w:rPr>
        <w:t>The bear case centers on durability of the premium-format moat: analysts flag that improving at-home entertainment and streaming economics could erode IMAX's differentiation over time, and rising production costs increase the risk that more content bypasses theatrical windows entirely, directly threatening the pipeline IMAX depends on [6]. CEO Gelfond's consistent net insider selling via 10b5-1 plans, combined with Glassdoor reviews describing an inconsistent, political internal culture, tempers conviction on the Inspiration and Trusting Teams dimensions even as the financial recovery looks genuine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of 160-175 system installations and ~$1.4B global box office provides multi-quarter revenue visibility off a record installation pace</w:t>
      </w:r>
    </w:p>
    <w:p>
      <w:pPr>
        <w:spacing w:before="40" w:after="40"/>
        <w:ind w:left="283"/>
      </w:pPr>
      <w:r>
        <w:rPr>
          <w:rFonts w:ascii="Calibri" w:hAnsi="Calibri"/>
          <w:b/>
          <w:color w:val="4A6B25"/>
          <w:sz w:val="20"/>
        </w:rPr>
        <w:t xml:space="preserve">2. </w:t>
      </w:r>
      <w:r>
        <w:rPr>
          <w:rFonts w:ascii="Calibri" w:hAnsi="Calibri"/>
          <w:b w:val="0"/>
          <w:color w:val="3A4A28"/>
          <w:sz w:val="20"/>
        </w:rPr>
        <w:t>Local-language content strategy (Japan, China, India) diversifying revenue beyond Hollywood blockbuster dependency, validated by record 'Demon Slayer: Infinity Castle' performance</w:t>
      </w:r>
    </w:p>
    <w:p>
      <w:pPr>
        <w:spacing w:before="40" w:after="40"/>
        <w:ind w:left="283"/>
      </w:pPr>
      <w:r>
        <w:rPr>
          <w:rFonts w:ascii="Calibri" w:hAnsi="Calibri"/>
          <w:b/>
          <w:color w:val="4A6B25"/>
          <w:sz w:val="20"/>
        </w:rPr>
        <w:t xml:space="preserve">3. </w:t>
      </w:r>
      <w:r>
        <w:rPr>
          <w:rFonts w:ascii="Calibri" w:hAnsi="Calibri"/>
          <w:b w:val="0"/>
          <w:color w:val="3A4A28"/>
          <w:sz w:val="20"/>
        </w:rPr>
        <w:t>Continued laser-projection upgrade cycle and mid-40s adjusted EBITDA margin guidance signal further margin expansion as the network modernizes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Streaming and at-home entertainment quality improvements could erode IMAX's premium-format differentiation over a multi-year horizon, per analyst commentary</w:t>
      </w:r>
    </w:p>
    <w:p>
      <w:pPr>
        <w:spacing w:before="40" w:after="40"/>
        <w:ind w:left="283"/>
      </w:pPr>
      <w:r>
        <w:rPr>
          <w:rFonts w:ascii="Calibri" w:hAnsi="Calibri"/>
          <w:b/>
          <w:color w:val="4A6B25"/>
          <w:sz w:val="20"/>
        </w:rPr>
        <w:t xml:space="preserve">2. </w:t>
      </w:r>
      <w:r>
        <w:rPr>
          <w:rFonts w:ascii="Calibri" w:hAnsi="Calibri"/>
          <w:b w:val="0"/>
          <w:color w:val="3A4A28"/>
          <w:sz w:val="20"/>
        </w:rPr>
        <w:t>Heavy reliance on blockbuster content creates exposure if more films bypass theatrical windows in favor of direct-to-streaming release strategies</w:t>
      </w:r>
    </w:p>
    <w:p>
      <w:pPr>
        <w:spacing w:before="40" w:after="40"/>
        <w:ind w:left="283"/>
      </w:pPr>
      <w:r>
        <w:rPr>
          <w:rFonts w:ascii="Calibri" w:hAnsi="Calibri"/>
          <w:b/>
          <w:color w:val="4A6B25"/>
          <w:sz w:val="20"/>
        </w:rPr>
        <w:t xml:space="preserve">3. </w:t>
      </w:r>
      <w:r>
        <w:rPr>
          <w:rFonts w:ascii="Calibri" w:hAnsi="Calibri"/>
          <w:b w:val="0"/>
          <w:color w:val="3A4A28"/>
          <w:sz w:val="20"/>
        </w:rPr>
        <w:t>CEO net insider selling via pre-arranged trading plans and Glassdoor reviews citing inconsistent leadership and a political internal culture weigh on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IMAX's core value proposition — a physically immersive giant-screen, laser-projection, custom-acoustic theatrical experience — cannot be substituted by AI software; analysts instead flag streaming and at-home entertainment quality improvements, not AI specifically, as the structural threat, alongside content-window compression risk if AI-assisted production lowers the cost of direct-to-streaming blockbusters [6]. The physical infrastructure moat (proprietary hardware installed in exhibitor real estate) is durable, though rising premium-format competition (Dolby Cinema) and blockbuster dependency add exposure. AI Opportunity (0/1): No quantifiable AI-related revenue was identified in current disclosures or earnings commentary.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IMAX Corporation Q2 2026 Earnings Release and Results — imaxcorporation.gcs-web.com,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IMAX Corporation financials and key statistics,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IMAX Corporation Employee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IMAX 2021 Environmental, Social and Governance Report — imax.gcs-web.com</w:t>
      </w:r>
    </w:p>
    <w:p>
      <w:pPr>
        <w:spacing w:before="20" w:after="20"/>
        <w:ind w:left="170"/>
      </w:pPr>
      <w:r>
        <w:rPr>
          <w:rFonts w:ascii="Calibri" w:hAnsi="Calibri"/>
          <w:b/>
          <w:color w:val="4A6B25"/>
          <w:sz w:val="15"/>
        </w:rPr>
        <w:t xml:space="preserve">5. </w:t>
      </w:r>
      <w:r>
        <w:rPr>
          <w:rFonts w:ascii="Calibri" w:hAnsi="Calibri"/>
          <w:b w:val="0"/>
          <w:color w:val="3A4A28"/>
          <w:sz w:val="17"/>
        </w:rPr>
        <w:t>StockTitan / SEC Form 4 Filings — Richard Gelfond Insider Trading Activity, 2025-2026</w:t>
      </w:r>
    </w:p>
    <w:p>
      <w:pPr>
        <w:spacing w:before="20" w:after="20"/>
        <w:ind w:left="170"/>
      </w:pPr>
      <w:r>
        <w:rPr>
          <w:rFonts w:ascii="Calibri" w:hAnsi="Calibri"/>
          <w:b/>
          <w:color w:val="4A6B25"/>
          <w:sz w:val="15"/>
        </w:rPr>
        <w:t xml:space="preserve">6. </w:t>
      </w:r>
      <w:r>
        <w:rPr>
          <w:rFonts w:ascii="Calibri" w:hAnsi="Calibri"/>
          <w:b w:val="0"/>
          <w:color w:val="3A4A28"/>
          <w:sz w:val="17"/>
        </w:rPr>
        <w:t>Sahm Capital / Simply Wall St — IMAX Streaming Disruption and Premium Cinema Strategy Analysis,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