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INTA</w:t>
      </w:r>
      <w:r>
        <w:rPr>
          <w:rFonts w:ascii="Calibri" w:hAnsi="Calibri"/>
          <w:b/>
          <w:color w:val="1A2010"/>
          <w:sz w:val="40"/>
        </w:rPr>
        <w:t xml:space="preserve">  Intapp, Inc.</w:t>
      </w:r>
    </w:p>
    <w:p>
      <w:pPr>
        <w:spacing w:after="120"/>
      </w:pPr>
      <w:r>
        <w:rPr>
          <w:rFonts w:ascii="Calibri" w:hAnsi="Calibri"/>
          <w:b/>
          <w:color w:val="6E8450"/>
          <w:sz w:val="18"/>
        </w:rPr>
        <w:t>GROWTH SLEEVE · 2026-08-04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Intapp, Inc. provides AI-powered cloud software solutions for professional and financial services firms, including law firms, accounting firms, investment banks, and private capital managers. Products include DealCloud (deal and relationship management), compliance and conflicts management, time and billing, and the AI-native Celeste agentic platform. Founded in 2000, headquartered in Palo Alto, California. Market cap approximately $1.9B.</w:t>
      </w:r>
    </w:p>
    <w:p>
      <w:r>
        <w:rPr>
          <w:rFonts w:ascii="Calibri" w:hAnsi="Calibri"/>
          <w:b/>
          <w:color w:val="6E8450"/>
          <w:sz w:val="18"/>
        </w:rPr>
        <w:t>1,336 Employees · https://www.intapp.com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Intapp executed a significant on-premises-to-cloud transformation, growing SaaS revenue 27% YoY to $107.9M in Q3 FY2026 while cloud ARR reached $459.3M [1]. SaaS now represents nearly three-quarters of total revenue, a fundamental business model shift from legacy perpetual licensing. The company also rebranded from LegalApp Holdings and expanded from legal-only to all professional services verticals. AI Deployment (2/2): The Celeste agentic AI platform launched in 2026 and contributed over 15% of net new bookings in its limited launch period, with 70+ new DealCloud AI features shipping to customers [1][2]. This represents quantifiable AI-driven revenue acceleration with specific metrics cited by management. Market Share (1/2): Intapp is a leading vertical software provider for top-100 global law firms and major private capital managers, but operates in a narrow niche — not a category definer — and competes against horizontal platforms like Salesforce and Microsoft Dynamics [1]. Product Pipeline (1/2): Celeste platform roadmap includes expanded agentic capabilities, Microsoft Azure Marketplace co-selling, and 145+ partner ecosystem integrations, though specific launch dates and revenue targets beyond Q4 FY2026 guidance remain vague [2]. R&amp;D Intensity (1/1): R&amp;D investment is substantial relative to revenue for a mid-cap SaaS company, consistent with the aggressive AI platform development and cloud migration trajectory.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Intapp's purpose — helping professional and financial services firms connect people, processes, and data to drive growth — is clear and identifies its audience but is essentially a business description rather than an inspiring cause [2]. It does not articulate a vision of a better future beyond operational efficiency for clients. Community Impact (0/2): No evidence of distinctive charitable programs, foundation, or community investment initiatives identified in research. Employee Retention (0/2): Glassdoor rating deteriorated to 3.3/5 across 299 reviews with deeply concerning feedback — employees describe morale as 'awful,' cite 'competing strategies' and shifting priorities, and report that 'many good people have left or mentally checked out' [3]. This signals poor retention and organizational dysfunction. Insider Buying (0/2): No evidence of meaningful net insider buying by executives in the last 12 months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excluding forward P/E and forward PEG (GAAP earnings are negative). Intapp's balance sheet is exceptionally clean with D/E of just 5%, well below the 70% target [4]. Revenue growth is strong at 13% YoY total revenue and SaaS accelerating at 27%, with a 5-year revenue CAGR of approximately 20% driven by the cloud transition from $187M in FY2020 to guided $574M in FY2026 [1]. However, the company remains GAAP unprofitable with a -4.4% net profit margin and -5.4% ROE, dragging two heavily-weighted metrics (ROE at 2x weight) to zero [4]. Non-GAAP operating margin improved to 17.6% ($25.7M on $146M revenue), but GAAP profitability has not been achieved after 25 years of operation. Daily dollar volume of approximately $27.7M clears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Intapp operates with a finite mindset — the company is executing a cloud transition and AI platform build driven primarily by competitive necessity and market opportunity rather than an enduring Just Cause. Glassdoor reviews describe shifting priorities, competing strategies, and a gap between leadership's vision rhetoric and organizational execution, which are hallmarks of a finite player optimizing quarter to quarter rather than building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Intapp's stated purpose centers on empowering professional services firms through connected technology, but this reads as a market positioning statement rather than a genuine Just Cause [2]. The company does not articulate a vision of a future state that inspires sacrifice or long-term commitment — it describes what it sells, not why it exists beyond profit. Leadership references 'transformation' and 'AI-native' but these are product strategies, not a cause that survived leadership transitions or market crises.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(3.3/5 across 299 reviews) paint a concerning picture of organizational trust. Employees describe 'competing strategies,' 'shifting priorities,' and morale as 'awful,' with reports that 'many good people have left or mentally checked out' [3]. The gap between executive vision and middle-management execution — described as 'thin communication and process friction amid rapid change' — creates an environment where employees question rather than trust leadership's direction. This is a classic finite-game symptom.</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Intapp's competitive positioning emphasizes being the 'leading' or 'only' vertical AI platform for professional services — finite language focused on market dominance rather than learning from rivals' strengths [2]. No management commentary identified that references learning from Salesforce, Microsoft, or specialized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Intapp's transition from on-premises perpetual licensing to cloud SaaS represents meaningful strategic adaptation that required short-term revenue pain — license revenue declined 22% in Q3 FY2026 while SaaS grew 27% [1]. The subsequent pivot to AI-native architecture with Celeste shows continued willingness to evolve. However, these are industry-standard transitions following market forces rather than transformative reinventions driven by a deeper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John Hall's 19-year tenure provides leadership continuity, and the decision to invest heavily in cloud migration and AI capabilities while the company remained GAAP unprofitable demonstrates willingness to sacrifice near-term results for long-term capability [1]. However, the ongoing unprofitability after 25 years of operation raises questions about whether this is courageous long-term investment or simply an inability to achieve sustainable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Intapp is executing a successful cloud transformation with SaaS revenue growing 27% YoY to $107.9M in Q3 FY2026 and cloud ARR reaching $459.3M, while the Celeste AI platform is an early differentiator contributing 15%+ of net new bookings [1][2]. FY2026 guidance of $574-575M total revenue with non-GAAP operating income of $102-104M demonstrates improving unit economics. The virtually debt-free balance sheet (D/E 5%) provides financial flexibility, and the 849K average daily volume at $32.69/share provides adequate liquidity. Analyst consensus is Buy with an average target of $48.63, implying 49% upside.</w:t>
      </w:r>
    </w:p>
    <w:p>
      <w:pPr>
        <w:spacing w:after="120"/>
      </w:pPr>
      <w:r>
        <w:rPr>
          <w:rFonts w:ascii="Calibri" w:hAnsi="Calibri"/>
          <w:b w:val="0"/>
          <w:color w:val="3A4A28"/>
          <w:sz w:val="20"/>
        </w:rPr>
        <w:t>The bear case centers on persistent GAAP unprofitability (-4.4% net margin, -5.4% ROE) after 25 years of operation, with no clear timeline to GAAP breakeven — the stock trades on non-GAAP metrics and narrative rather than demonstrated earnings power [4]. Cultural deterioration is a material risk: Glassdoor dropped to 3.3/5 with employees describing morale as 'awful' and talent attrition accelerating at a critical moment in the AI platform scaling effort [3]. The narrow vertical focus on professional services limits the total addressable market relative to horizontal SaaS peers, and Microsoft Copilot for M365 (which Intapp integrates with) could cannibalize workflow value if Microsoft builds professional services features natively. The stock has declined significantly from highs, reflecting market skepticism about the profitability inflection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Celeste AI platform scaling beyond 15% of net new bookings as agentic capabilities expand across the 145+ partner ecosystem and Azure Marketplace co-selling channel [1][2]</w:t>
      </w:r>
    </w:p>
    <w:p>
      <w:pPr>
        <w:spacing w:before="40" w:after="40"/>
        <w:ind w:left="283"/>
      </w:pPr>
      <w:r>
        <w:rPr>
          <w:rFonts w:ascii="Calibri" w:hAnsi="Calibri"/>
          <w:b/>
          <w:color w:val="4A6B25"/>
          <w:sz w:val="20"/>
        </w:rPr>
        <w:t xml:space="preserve">2. </w:t>
      </w:r>
      <w:r>
        <w:rPr>
          <w:rFonts w:ascii="Calibri" w:hAnsi="Calibri"/>
          <w:b w:val="0"/>
          <w:color w:val="3A4A28"/>
          <w:sz w:val="20"/>
        </w:rPr>
        <w:t>GAAP profitability inflection as SaaS mix shift drives gross margin expansion (non-GAAP already 78.8%) and operating leverage materializes at scale</w:t>
      </w:r>
    </w:p>
    <w:p>
      <w:pPr>
        <w:spacing w:before="40" w:after="40"/>
        <w:ind w:left="283"/>
      </w:pPr>
      <w:r>
        <w:rPr>
          <w:rFonts w:ascii="Calibri" w:hAnsi="Calibri"/>
          <w:b/>
          <w:color w:val="4A6B25"/>
          <w:sz w:val="20"/>
        </w:rPr>
        <w:t xml:space="preserve">3. </w:t>
      </w:r>
      <w:r>
        <w:rPr>
          <w:rFonts w:ascii="Calibri" w:hAnsi="Calibri"/>
          <w:b w:val="0"/>
          <w:color w:val="3A4A28"/>
          <w:sz w:val="20"/>
        </w:rPr>
        <w:t>Cross-sell and upsell within existing top-100 law firm and private capital client base as cloud migration accelerates from legacy on-premises installed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GAAP losses and negative ROE (-5.4%) after 25 years of operation risk further multiple compression if SaaS growth decelerates or the path to profitability extends [4]</w:t>
      </w:r>
    </w:p>
    <w:p>
      <w:pPr>
        <w:spacing w:before="40" w:after="40"/>
        <w:ind w:left="283"/>
      </w:pPr>
      <w:r>
        <w:rPr>
          <w:rFonts w:ascii="Calibri" w:hAnsi="Calibri"/>
          <w:b/>
          <w:color w:val="4A6B25"/>
          <w:sz w:val="20"/>
        </w:rPr>
        <w:t xml:space="preserve">2. </w:t>
      </w:r>
      <w:r>
        <w:rPr>
          <w:rFonts w:ascii="Calibri" w:hAnsi="Calibri"/>
          <w:b w:val="0"/>
          <w:color w:val="3A4A28"/>
          <w:sz w:val="20"/>
        </w:rPr>
        <w:t>Glassdoor-documented cultural deterioration (3.3/5, morale described as 'awful', talent attrition) could undermine execution on the Celeste AI roadmap at a critical scaling moment [3]</w:t>
      </w:r>
    </w:p>
    <w:p>
      <w:pPr>
        <w:spacing w:before="40" w:after="40"/>
        <w:ind w:left="283"/>
      </w:pPr>
      <w:r>
        <w:rPr>
          <w:rFonts w:ascii="Calibri" w:hAnsi="Calibri"/>
          <w:b/>
          <w:color w:val="4A6B25"/>
          <w:sz w:val="20"/>
        </w:rPr>
        <w:t xml:space="preserve">3. </w:t>
      </w:r>
      <w:r>
        <w:rPr>
          <w:rFonts w:ascii="Calibri" w:hAnsi="Calibri"/>
          <w:b w:val="0"/>
          <w:color w:val="3A4A28"/>
          <w:sz w:val="20"/>
        </w:rPr>
        <w:t>Microsoft Copilot platform risk — Intapp's collaboration products depend on M365 integration, and Microsoft could subsume professional services workflow features natively, compressing Intapp's addressable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Intapp's core business — workflow software for professional services firms with deep regulatory compliance, conflicts-of-interest management, and domain-specific data integration requirements — has meaningful defensive moats against generic AI disruption [1]. Law firm conflicts management, deal pipeline tracking for private capital, and client lifecycle compliance require specialized domain knowledge and regulated processes that horizontal AI tools cannot easily replicate. However, Microsoft Copilot integration into M365 (which Intapp depends on for collaboration) and Salesforce Einstein could erode portions of Intapp's relationship intelligence and workflow value proposition, creating moderate exposure in non-regulated product lines. AI Opportunity (1/1): Celeste agentic AI platform is generating measurable revenue — contributing over 15% of net new bookings in its initial launch period, with 70+ DealCloud AI features actively shipping to enterprise customers [1][2]. This is meaningful AI-driven revenue acceleration positioning Intapp as an AI enabler in its vertical.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Intapp Q3 FY2026 Earnings Release and Transcript — Revenue $146M (up 13%), SaaS $107.9M (up 27%), Cloud ARR $459.3M, May 2026</w:t>
      </w:r>
    </w:p>
    <w:p>
      <w:pPr>
        <w:spacing w:before="20" w:after="20"/>
        <w:ind w:left="170"/>
      </w:pPr>
      <w:r>
        <w:rPr>
          <w:rFonts w:ascii="Calibri" w:hAnsi="Calibri"/>
          <w:b/>
          <w:color w:val="4A6B25"/>
          <w:sz w:val="15"/>
        </w:rPr>
        <w:t xml:space="preserve">2. </w:t>
      </w:r>
      <w:r>
        <w:rPr>
          <w:rFonts w:ascii="Calibri" w:hAnsi="Calibri"/>
          <w:b w:val="0"/>
          <w:color w:val="3A4A28"/>
          <w:sz w:val="17"/>
        </w:rPr>
        <w:t>Intapp Celeste AI Platform Launch, Investor Day, and DealCloud AI Feature Announcements — Company Press Releases, February 2026</w:t>
      </w:r>
    </w:p>
    <w:p>
      <w:pPr>
        <w:spacing w:before="20" w:after="20"/>
        <w:ind w:left="170"/>
      </w:pPr>
      <w:r>
        <w:rPr>
          <w:rFonts w:ascii="Calibri" w:hAnsi="Calibri"/>
          <w:b/>
          <w:color w:val="4A6B25"/>
          <w:sz w:val="15"/>
        </w:rPr>
        <w:t xml:space="preserve">3. </w:t>
      </w:r>
      <w:r>
        <w:rPr>
          <w:rFonts w:ascii="Calibri" w:hAnsi="Calibri"/>
          <w:b w:val="0"/>
          <w:color w:val="3A4A28"/>
          <w:sz w:val="17"/>
        </w:rPr>
        <w:t>Glassdoor — Intapp Employee Reviews (299 reviews, 3.3/5 rating),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INTA Key Statistics and Valuation Metrics,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